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1D01F0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016665" w:rsidRPr="00AD4E3E" w:rsidRDefault="00016665" w:rsidP="00016665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025F8B">
        <w:rPr>
          <w:b/>
          <w:caps/>
          <w:sz w:val="28"/>
          <w:szCs w:val="28"/>
        </w:rPr>
        <w:t>ГЭРБ.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555D6C" w:rsidRPr="00D933AC" w:rsidRDefault="00555D6C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016665" w:rsidRDefault="00016665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 Семестр X</w:t>
      </w:r>
      <w:r>
        <w:rPr>
          <w:rFonts w:eastAsia="Calibri"/>
          <w:sz w:val="28"/>
          <w:szCs w:val="28"/>
          <w:lang w:val="en-US"/>
        </w:rPr>
        <w:t>II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3C3ECC">
      <w:pPr>
        <w:jc w:val="center"/>
        <w:rPr>
          <w:b/>
          <w:bCs/>
          <w:sz w:val="28"/>
          <w:szCs w:val="28"/>
        </w:rPr>
      </w:pPr>
    </w:p>
    <w:p w:rsidR="00072BC7" w:rsidRPr="001D01F0" w:rsidRDefault="00072BC7" w:rsidP="00016665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1D01F0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016665">
        <w:rPr>
          <w:snapToGrid w:val="0"/>
          <w:sz w:val="28"/>
          <w:szCs w:val="28"/>
        </w:rPr>
        <w:t>ГЭРБ</w:t>
      </w:r>
      <w:r w:rsidR="00016665">
        <w:rPr>
          <w:sz w:val="28"/>
          <w:szCs w:val="28"/>
        </w:rPr>
        <w:t>. Ведение больных в условиях поликлиники»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1D01F0">
        <w:rPr>
          <w:sz w:val="28"/>
          <w:szCs w:val="28"/>
        </w:rPr>
        <w:t>кая терапия, утвержденной в 201</w:t>
      </w:r>
      <w:r w:rsidR="001D01F0" w:rsidRPr="001D01F0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1D01F0">
        <w:rPr>
          <w:sz w:val="28"/>
          <w:szCs w:val="28"/>
        </w:rPr>
        <w:t>ено на  заседании кафедры   « 3</w:t>
      </w:r>
      <w:r w:rsidR="001D01F0">
        <w:rPr>
          <w:sz w:val="28"/>
          <w:szCs w:val="28"/>
          <w:lang w:val="en-US"/>
        </w:rPr>
        <w:t>1</w:t>
      </w:r>
      <w:r w:rsidR="001D01F0">
        <w:rPr>
          <w:sz w:val="28"/>
          <w:szCs w:val="28"/>
        </w:rPr>
        <w:t>» августа  201</w:t>
      </w:r>
      <w:r w:rsidR="001D01F0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t xml:space="preserve"> </w:t>
      </w:r>
    </w:p>
    <w:p w:rsidR="001D5E00" w:rsidRDefault="001D5E00" w:rsidP="002C4711">
      <w:pPr>
        <w:jc w:val="both"/>
        <w:rPr>
          <w:b/>
          <w:bCs/>
          <w:caps/>
          <w:sz w:val="28"/>
          <w:szCs w:val="28"/>
        </w:rPr>
      </w:pPr>
    </w:p>
    <w:p w:rsidR="002C4711" w:rsidRPr="001D01F0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016665" w:rsidRDefault="00016665" w:rsidP="00016665">
      <w:pPr>
        <w:keepNext/>
        <w:keepLines/>
        <w:jc w:val="both"/>
        <w:rPr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lastRenderedPageBreak/>
        <w:t>«</w:t>
      </w:r>
      <w:r w:rsidRPr="00025F8B">
        <w:rPr>
          <w:b/>
          <w:caps/>
          <w:sz w:val="28"/>
          <w:szCs w:val="28"/>
        </w:rPr>
        <w:t>ГЭРБ. Ведение больных в условиях поликлиники</w:t>
      </w:r>
      <w:r w:rsidRPr="00081E06">
        <w:rPr>
          <w:b/>
          <w:bCs/>
          <w:caps/>
          <w:sz w:val="28"/>
          <w:szCs w:val="28"/>
        </w:rPr>
        <w:t>»</w:t>
      </w:r>
      <w:r w:rsidRPr="00423DE9">
        <w:rPr>
          <w:sz w:val="28"/>
          <w:szCs w:val="28"/>
        </w:rPr>
        <w:t xml:space="preserve"> </w:t>
      </w:r>
      <w:r w:rsidRPr="00E6466A">
        <w:rPr>
          <w:sz w:val="28"/>
          <w:szCs w:val="28"/>
        </w:rPr>
        <w:t>1.</w:t>
      </w:r>
      <w:r w:rsidRPr="00E6466A">
        <w:rPr>
          <w:b/>
          <w:sz w:val="28"/>
          <w:szCs w:val="28"/>
          <w:u w:val="single"/>
        </w:rPr>
        <w:t>Актуальность темы:</w:t>
      </w:r>
      <w:r w:rsidRPr="00E6466A">
        <w:rPr>
          <w:sz w:val="28"/>
          <w:szCs w:val="28"/>
        </w:rPr>
        <w:t xml:space="preserve">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представляет собой хроническое воспаление слизистой  и подслизистой оболочек желудка с нарушением физиологической регенерации, прогрессирующей атрофией специализированного железистого эпителия, с нарушением моторной, преимущественно секреторной, и в ряде случаев эндокринной функции желудка, с разнообразными клиническими признаками. </w:t>
      </w:r>
    </w:p>
    <w:p w:rsidR="00016665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Основываясь на результатах исследований,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страдают 50-80% взрослого населения и лишь 10-15% обращается к врачам.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занимает основное место среди всех болезней желудка (80-85%). Причины развития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разделяют на экзогенные и эндогенные. Основными экзогенными причинами являются нарушения режима и качества питания, плохое пережевывание пищи, длительный прием некоторых лекарственных препаратов (НПВП и др</w:t>
      </w:r>
      <w:r>
        <w:rPr>
          <w:sz w:val="28"/>
          <w:szCs w:val="28"/>
        </w:rPr>
        <w:t>.</w:t>
      </w:r>
      <w:r w:rsidRPr="00E6466A">
        <w:rPr>
          <w:sz w:val="28"/>
          <w:szCs w:val="28"/>
        </w:rPr>
        <w:t xml:space="preserve">), инфицирование </w:t>
      </w:r>
      <w:r w:rsidRPr="00E6466A">
        <w:rPr>
          <w:sz w:val="28"/>
          <w:szCs w:val="28"/>
          <w:lang w:val="en-US"/>
        </w:rPr>
        <w:t>Helicobacter</w:t>
      </w:r>
      <w:r w:rsidRPr="00E6466A">
        <w:rPr>
          <w:sz w:val="28"/>
          <w:szCs w:val="28"/>
        </w:rPr>
        <w:t xml:space="preserve"> </w:t>
      </w:r>
      <w:r w:rsidRPr="00E6466A">
        <w:rPr>
          <w:sz w:val="28"/>
          <w:szCs w:val="28"/>
          <w:lang w:val="en-US"/>
        </w:rPr>
        <w:t>pylori</w:t>
      </w:r>
      <w:r w:rsidRPr="00E6466A">
        <w:rPr>
          <w:sz w:val="28"/>
          <w:szCs w:val="28"/>
        </w:rPr>
        <w:t>, злоупотребление алкоголем, курение, дуоденогастральный рефлюкс. Эндогенные причины осуществляют свое влияние на слизистую оболочку желудка через нервно-рефлекторные, гуморальные, токсические и иммунологические воздействия, которые наблюдаются при нарушении центральной нервной системы.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Диагноз хронический гастрит основывается на комплексной оценке клинической картины и результатов лабораторно-инструментального исследования. Решающее значение имеет фиброэзофагогастродуоденоскопия с биопсией слизистой оболочки  из антрального отдела и тела желудка.  Лечение больных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обычно проводится в амбулаторных условиях. Госпитализация показана больным  с выраженным болевым и диспепсическими синдромами при затруднениях  в дифференциальной диагностике.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Лица, страдающие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, находятся под диспансерным наблюдением с профилактическими осмотрами 2 </w:t>
      </w:r>
      <w:r>
        <w:rPr>
          <w:sz w:val="28"/>
          <w:szCs w:val="28"/>
        </w:rPr>
        <w:t>раза в год для коррекции лечени</w:t>
      </w:r>
      <w:r w:rsidRPr="00E6466A">
        <w:rPr>
          <w:sz w:val="28"/>
          <w:szCs w:val="28"/>
        </w:rPr>
        <w:t>я и выработки плана обследования.</w:t>
      </w:r>
    </w:p>
    <w:p w:rsidR="00016665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Динамическому эндоск</w:t>
      </w:r>
      <w:r w:rsidRPr="00E6466A">
        <w:rPr>
          <w:sz w:val="28"/>
          <w:szCs w:val="28"/>
        </w:rPr>
        <w:t>опическому наблюдению подлежат пациенты с повышенным риском развития рака желудка и предъязвенным состоянием. Осмотры проводятся 1-2 раза в год, при необходимости исследование дополняется гастробиопсией.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</w:t>
      </w:r>
      <w:r w:rsidRPr="00423DE9">
        <w:rPr>
          <w:b/>
          <w:sz w:val="28"/>
          <w:szCs w:val="28"/>
        </w:rPr>
        <w:t xml:space="preserve"> </w:t>
      </w:r>
      <w:r w:rsidRPr="00E6466A">
        <w:rPr>
          <w:b/>
          <w:sz w:val="28"/>
          <w:szCs w:val="28"/>
          <w:u w:val="single"/>
        </w:rPr>
        <w:t>Учебные цели:</w:t>
      </w:r>
      <w:r w:rsidRPr="00E6466A">
        <w:rPr>
          <w:sz w:val="28"/>
          <w:szCs w:val="28"/>
        </w:rPr>
        <w:t xml:space="preserve">  овладение врачебными навыками ранней диагностики, профилактики, назначения лечения и диспансерного наблюдения больным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в условиях поликлиники.</w:t>
      </w:r>
    </w:p>
    <w:p w:rsidR="00016665" w:rsidRPr="00E6466A" w:rsidRDefault="00016665" w:rsidP="00016665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</w:t>
      </w:r>
      <w:r w:rsidRPr="00E6466A">
        <w:rPr>
          <w:sz w:val="28"/>
          <w:szCs w:val="28"/>
        </w:rPr>
        <w:t xml:space="preserve">  </w:t>
      </w:r>
      <w:r w:rsidRPr="00E6466A">
        <w:rPr>
          <w:b/>
          <w:sz w:val="28"/>
          <w:szCs w:val="28"/>
        </w:rPr>
        <w:t xml:space="preserve">студент должен знать: </w:t>
      </w:r>
    </w:p>
    <w:p w:rsidR="00016665" w:rsidRPr="00E6466A" w:rsidRDefault="00016665" w:rsidP="00016665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    - факторы риска </w:t>
      </w:r>
      <w:r>
        <w:rPr>
          <w:sz w:val="28"/>
          <w:szCs w:val="28"/>
        </w:rPr>
        <w:t>ГЭРБ;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этиологию, патогенез и современную классификацию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интерпр</w:t>
      </w:r>
      <w:r>
        <w:rPr>
          <w:sz w:val="28"/>
          <w:szCs w:val="28"/>
        </w:rPr>
        <w:t>е</w:t>
      </w:r>
      <w:r w:rsidRPr="00E6466A">
        <w:rPr>
          <w:sz w:val="28"/>
          <w:szCs w:val="28"/>
        </w:rPr>
        <w:t>тацию результатов лабораторно-инструментальных методов исследования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- принципы врачебно-трудовой экспертизы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средства этиотропной, патогенетической, симптоматической медикаментоз</w:t>
      </w:r>
      <w:r>
        <w:rPr>
          <w:sz w:val="28"/>
          <w:szCs w:val="28"/>
        </w:rPr>
        <w:t>ной и немедикаментозной терапии;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методы профилактики.</w:t>
      </w:r>
    </w:p>
    <w:p w:rsidR="00016665" w:rsidRPr="00E6466A" w:rsidRDefault="00016665" w:rsidP="00016665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 студент должен уметь: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провести раннюю диагностику </w:t>
      </w:r>
      <w:r>
        <w:rPr>
          <w:sz w:val="28"/>
          <w:szCs w:val="28"/>
        </w:rPr>
        <w:t>ГЭРБ;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дифференцировать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с другими заболеваниями, имеющие сходную симптоматику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план обследования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оценить результаты клинических и лабораторно-инструментальных исследований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осуществить, при необходимости, госпитализацию больного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лечение</w:t>
      </w:r>
      <w:r>
        <w:rPr>
          <w:sz w:val="28"/>
          <w:szCs w:val="28"/>
        </w:rPr>
        <w:t>;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Провести экспертизу нетрудоспособности</w:t>
      </w:r>
      <w:r>
        <w:rPr>
          <w:sz w:val="28"/>
          <w:szCs w:val="28"/>
        </w:rPr>
        <w:t>;</w:t>
      </w:r>
    </w:p>
    <w:p w:rsidR="00016665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Назначить комплекс профилактических мероприятий с применением медикаментозных и немедикаментозных методов лечения.</w:t>
      </w:r>
    </w:p>
    <w:p w:rsidR="00016665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</w:p>
    <w:p w:rsidR="00016665" w:rsidRPr="004B2CDD" w:rsidRDefault="00016665" w:rsidP="00016665">
      <w:pPr>
        <w:jc w:val="both"/>
        <w:rPr>
          <w:b/>
          <w:snapToGrid w:val="0"/>
          <w:sz w:val="28"/>
        </w:rPr>
      </w:pPr>
      <w:r w:rsidRPr="004B2CDD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4B2CDD">
        <w:rPr>
          <w:b/>
          <w:snapToGrid w:val="0"/>
          <w:sz w:val="28"/>
        </w:rPr>
        <w:t>владеть:</w:t>
      </w:r>
    </w:p>
    <w:p w:rsidR="00016665" w:rsidRPr="00C571AA" w:rsidRDefault="00016665" w:rsidP="00016665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016665" w:rsidRPr="00C571AA" w:rsidRDefault="00016665" w:rsidP="00016665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016665" w:rsidRPr="00C571AA" w:rsidRDefault="00016665" w:rsidP="00016665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владеть методами оказания неотложной догоспитальной медицинской помощи,</w:t>
      </w:r>
    </w:p>
    <w:p w:rsidR="00016665" w:rsidRPr="00C571AA" w:rsidRDefault="00016665" w:rsidP="00016665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016665" w:rsidRPr="00C571AA" w:rsidRDefault="00016665" w:rsidP="00016665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016665" w:rsidRPr="00C571AA" w:rsidRDefault="00016665" w:rsidP="00016665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  <w:r>
        <w:rPr>
          <w:snapToGrid w:val="0"/>
          <w:sz w:val="28"/>
        </w:rPr>
        <w:t>,</w:t>
      </w:r>
    </w:p>
    <w:p w:rsidR="00016665" w:rsidRDefault="00016665" w:rsidP="00016665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</w:p>
    <w:p w:rsidR="00016665" w:rsidRPr="00E6466A" w:rsidRDefault="00016665" w:rsidP="00016665">
      <w:pPr>
        <w:keepNext/>
        <w:keepLines/>
        <w:ind w:firstLine="709"/>
        <w:jc w:val="both"/>
        <w:rPr>
          <w:b/>
          <w:sz w:val="28"/>
          <w:szCs w:val="28"/>
          <w:u w:val="single"/>
        </w:rPr>
      </w:pPr>
      <w:r w:rsidRPr="00E6466A">
        <w:rPr>
          <w:sz w:val="28"/>
          <w:szCs w:val="28"/>
        </w:rPr>
        <w:t>3.</w:t>
      </w:r>
      <w:r w:rsidRPr="00E6466A">
        <w:rPr>
          <w:sz w:val="28"/>
          <w:szCs w:val="28"/>
          <w:u w:val="single"/>
        </w:rPr>
        <w:t xml:space="preserve"> </w:t>
      </w:r>
      <w:r w:rsidRPr="00E6466A">
        <w:rPr>
          <w:b/>
          <w:sz w:val="28"/>
          <w:szCs w:val="28"/>
          <w:u w:val="single"/>
        </w:rPr>
        <w:t>Нео</w:t>
      </w:r>
      <w:r>
        <w:rPr>
          <w:b/>
          <w:sz w:val="28"/>
          <w:szCs w:val="28"/>
          <w:u w:val="single"/>
        </w:rPr>
        <w:t>б</w:t>
      </w:r>
      <w:r w:rsidRPr="00E6466A">
        <w:rPr>
          <w:b/>
          <w:sz w:val="28"/>
          <w:szCs w:val="28"/>
          <w:u w:val="single"/>
        </w:rPr>
        <w:t>ходимые  базисные знания и умения: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-анатомо-физиологические особенности  органов и систем 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-методика исследования</w:t>
      </w:r>
    </w:p>
    <w:p w:rsidR="00016665" w:rsidRPr="00E6466A" w:rsidRDefault="00016665" w:rsidP="00016665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-возрастные особенности</w:t>
      </w:r>
    </w:p>
    <w:p w:rsidR="00016665" w:rsidRPr="00E6466A" w:rsidRDefault="00016665" w:rsidP="00016665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</w:t>
      </w:r>
      <w:r w:rsidRPr="00E6466A">
        <w:rPr>
          <w:b/>
          <w:sz w:val="28"/>
          <w:szCs w:val="28"/>
          <w:u w:val="single"/>
        </w:rPr>
        <w:t>Вид занятия</w:t>
      </w:r>
      <w:r w:rsidRPr="00E6466A">
        <w:rPr>
          <w:b/>
          <w:sz w:val="28"/>
          <w:szCs w:val="28"/>
        </w:rPr>
        <w:t>:</w:t>
      </w:r>
      <w:r w:rsidRPr="00E6466A">
        <w:rPr>
          <w:sz w:val="28"/>
          <w:szCs w:val="28"/>
        </w:rPr>
        <w:t xml:space="preserve"> практическое занятие;</w:t>
      </w:r>
    </w:p>
    <w:p w:rsidR="00016665" w:rsidRPr="00E6466A" w:rsidRDefault="00016665" w:rsidP="00016665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5. </w:t>
      </w:r>
      <w:r w:rsidRPr="00E6466A">
        <w:rPr>
          <w:b/>
          <w:sz w:val="28"/>
          <w:szCs w:val="28"/>
          <w:u w:val="single"/>
        </w:rPr>
        <w:t>Продолжительность занятия:</w:t>
      </w:r>
      <w:r>
        <w:rPr>
          <w:sz w:val="28"/>
          <w:szCs w:val="28"/>
        </w:rPr>
        <w:t xml:space="preserve"> </w:t>
      </w:r>
      <w:r w:rsidRPr="00D14A0D">
        <w:rPr>
          <w:sz w:val="28"/>
          <w:szCs w:val="28"/>
        </w:rPr>
        <w:t>5</w:t>
      </w:r>
      <w:r w:rsidRPr="00E6466A">
        <w:rPr>
          <w:sz w:val="28"/>
          <w:szCs w:val="28"/>
        </w:rPr>
        <w:t xml:space="preserve"> часов.</w:t>
      </w:r>
    </w:p>
    <w:p w:rsidR="00016665" w:rsidRPr="00E6466A" w:rsidRDefault="00016665" w:rsidP="00016665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6.</w:t>
      </w:r>
      <w:r w:rsidRPr="00E6466A">
        <w:rPr>
          <w:b/>
          <w:sz w:val="28"/>
          <w:szCs w:val="28"/>
          <w:u w:val="single"/>
        </w:rPr>
        <w:t>Оснащение занятия:</w:t>
      </w:r>
      <w:r w:rsidRPr="00E6466A">
        <w:rPr>
          <w:sz w:val="28"/>
          <w:szCs w:val="28"/>
        </w:rPr>
        <w:t xml:space="preserve"> таблицы, плакаты, наборы фиброгастроскопий, альбомы по фармакотерапии, наборы рентгенограмм, диапроектор.</w:t>
      </w:r>
    </w:p>
    <w:p w:rsidR="00016665" w:rsidRPr="00654747" w:rsidRDefault="00016665" w:rsidP="00016665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016665" w:rsidRPr="00654747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016665" w:rsidRPr="00654747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lastRenderedPageBreak/>
        <w:t>7.2.контроль исходного уровня знаний студентов с применением тестов.</w:t>
      </w:r>
    </w:p>
    <w:p w:rsidR="00016665" w:rsidRPr="00654747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016665" w:rsidRPr="00654747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016665" w:rsidRPr="00654747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2C4711" w:rsidRDefault="00016665" w:rsidP="00016665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016665" w:rsidRPr="00016665" w:rsidRDefault="00016665" w:rsidP="00016665">
      <w:pPr>
        <w:jc w:val="both"/>
        <w:rPr>
          <w:color w:val="000000"/>
          <w:sz w:val="28"/>
          <w:szCs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Поликлиническая терапия</w:t>
      </w:r>
      <w:r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6E117D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2C4711" w:rsidRDefault="002C4711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2C4711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Дополнительная:</w:t>
      </w:r>
    </w:p>
    <w:p w:rsidR="00072BC7" w:rsidRPr="00CA0713" w:rsidRDefault="00072BC7" w:rsidP="002C4711">
      <w:pPr>
        <w:jc w:val="both"/>
        <w:rPr>
          <w:snapToGrid w:val="0"/>
          <w:color w:val="000000"/>
          <w:sz w:val="28"/>
          <w:szCs w:val="28"/>
        </w:rPr>
      </w:pPr>
    </w:p>
    <w:p w:rsidR="00016665" w:rsidRDefault="00016665" w:rsidP="00016665">
      <w:pPr>
        <w:ind w:right="283"/>
        <w:jc w:val="both"/>
        <w:rPr>
          <w:b/>
          <w:sz w:val="28"/>
          <w:szCs w:val="28"/>
        </w:rPr>
      </w:pPr>
    </w:p>
    <w:p w:rsidR="00016665" w:rsidRPr="0010100B" w:rsidRDefault="00016665" w:rsidP="00016665">
      <w:pPr>
        <w:numPr>
          <w:ilvl w:val="0"/>
          <w:numId w:val="8"/>
        </w:numPr>
        <w:ind w:right="283"/>
        <w:jc w:val="both"/>
        <w:rPr>
          <w:color w:val="000000"/>
          <w:sz w:val="28"/>
          <w:szCs w:val="28"/>
        </w:rPr>
      </w:pPr>
      <w:r w:rsidRPr="0010100B">
        <w:rPr>
          <w:color w:val="000000"/>
          <w:sz w:val="28"/>
          <w:szCs w:val="28"/>
        </w:rPr>
        <w:t>Гастроэзофагеальная рефлюксная болезнь. Клинические рекомендации // Российская Гастроэнтерологическая Ассоциация.</w:t>
      </w:r>
      <w:r>
        <w:rPr>
          <w:color w:val="000000"/>
          <w:sz w:val="28"/>
          <w:szCs w:val="28"/>
        </w:rPr>
        <w:t xml:space="preserve"> 2014. Москва-23 с.</w:t>
      </w:r>
    </w:p>
    <w:p w:rsidR="00016665" w:rsidRPr="0010100B" w:rsidRDefault="00016665" w:rsidP="000166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10100B">
        <w:rPr>
          <w:sz w:val="28"/>
          <w:szCs w:val="28"/>
        </w:rPr>
        <w:t>Ивашкин В.Т., Трухманов А.С., Шептулин А.А., Баранская Е.К., Лапина Т.Л., Сторонова О.А., Кайбышева В.О. Гастроэзофагеальная рефлюксная болезнь. Рекомендации по диагностике и лечению. - М., - 2013.- 20 с.</w:t>
      </w:r>
    </w:p>
    <w:p w:rsidR="00016665" w:rsidRPr="007964C4" w:rsidRDefault="00016665" w:rsidP="00016665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r w:rsidRPr="00B24795">
        <w:rPr>
          <w:bCs/>
          <w:color w:val="222222"/>
          <w:sz w:val="28"/>
          <w:szCs w:val="28"/>
          <w:shd w:val="clear" w:color="auto" w:fill="FFFFFF"/>
        </w:rPr>
        <w:t>Диетотерапия при заболеваниях</w:t>
      </w:r>
      <w:r w:rsidRPr="00B24795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B24795">
        <w:rPr>
          <w:color w:val="222222"/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B24795">
        <w:rPr>
          <w:bCs/>
          <w:color w:val="222222"/>
          <w:sz w:val="28"/>
          <w:szCs w:val="28"/>
          <w:shd w:val="clear" w:color="auto" w:fill="FFFFFF"/>
        </w:rPr>
        <w:t>Ч. 1</w:t>
      </w:r>
      <w:r w:rsidRPr="00B24795">
        <w:rPr>
          <w:color w:val="222222"/>
          <w:sz w:val="28"/>
          <w:szCs w:val="28"/>
          <w:shd w:val="clear" w:color="auto" w:fill="FFFFFF"/>
        </w:rPr>
        <w:t xml:space="preserve">: учебное </w:t>
      </w:r>
      <w:r w:rsidRPr="007964C4">
        <w:rPr>
          <w:sz w:val="28"/>
          <w:szCs w:val="28"/>
          <w:shd w:val="clear" w:color="auto" w:fill="FFFFFF"/>
        </w:rPr>
        <w:t>пособие/ сост. А. Я. Крюкова [и др.]. - 2015. - 82 с.</w:t>
      </w:r>
    </w:p>
    <w:p w:rsidR="001122CA" w:rsidRPr="00016665" w:rsidRDefault="00016665" w:rsidP="00016665">
      <w:pPr>
        <w:numPr>
          <w:ilvl w:val="0"/>
          <w:numId w:val="8"/>
        </w:numPr>
        <w:rPr>
          <w:color w:val="222222"/>
          <w:sz w:val="28"/>
          <w:szCs w:val="28"/>
          <w:shd w:val="clear" w:color="auto" w:fill="FFFFFF"/>
        </w:rPr>
      </w:pPr>
      <w:r w:rsidRPr="007964C4">
        <w:rPr>
          <w:sz w:val="28"/>
          <w:szCs w:val="28"/>
          <w:shd w:val="clear" w:color="auto" w:fill="FFFFFF"/>
        </w:rPr>
        <w:t>Болезни желудка: монография/ И. В. Маев, А. А. Самсонов</w:t>
      </w:r>
      <w:r w:rsidRPr="00B24795">
        <w:rPr>
          <w:color w:val="222222"/>
          <w:sz w:val="28"/>
          <w:szCs w:val="28"/>
          <w:shd w:val="clear" w:color="auto" w:fill="FFFFFF"/>
        </w:rPr>
        <w:t>, Д. Н. Андреев. - М.: ГЭОТАР-МЕДИА, 2015. - 973 с.</w:t>
      </w:r>
    </w:p>
    <w:sectPr w:rsidR="001122CA" w:rsidRPr="00016665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00" w:rsidRDefault="002A5300" w:rsidP="00F62B1B">
      <w:r>
        <w:separator/>
      </w:r>
    </w:p>
  </w:endnote>
  <w:endnote w:type="continuationSeparator" w:id="1">
    <w:p w:rsidR="002A5300" w:rsidRDefault="002A5300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00" w:rsidRDefault="002A5300" w:rsidP="00F62B1B">
      <w:r>
        <w:separator/>
      </w:r>
    </w:p>
  </w:footnote>
  <w:footnote w:type="continuationSeparator" w:id="1">
    <w:p w:rsidR="002A5300" w:rsidRDefault="002A5300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1F0"/>
    <w:rsid w:val="001D0E64"/>
    <w:rsid w:val="001D5E00"/>
    <w:rsid w:val="001E002A"/>
    <w:rsid w:val="0021276E"/>
    <w:rsid w:val="00231DC2"/>
    <w:rsid w:val="002A3641"/>
    <w:rsid w:val="002A5300"/>
    <w:rsid w:val="002C4711"/>
    <w:rsid w:val="00303FA8"/>
    <w:rsid w:val="00307568"/>
    <w:rsid w:val="00380124"/>
    <w:rsid w:val="003A29D0"/>
    <w:rsid w:val="003A3118"/>
    <w:rsid w:val="003C3ECC"/>
    <w:rsid w:val="003D02D4"/>
    <w:rsid w:val="004F1073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42368"/>
    <w:rsid w:val="00D933AC"/>
    <w:rsid w:val="00DC727E"/>
    <w:rsid w:val="00E15ADF"/>
    <w:rsid w:val="00E76D17"/>
    <w:rsid w:val="00E95FDD"/>
    <w:rsid w:val="00EC31FE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3962-7145-485D-8DFE-2DDA77F5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2017-02-14T16:51:00Z</dcterms:created>
  <dcterms:modified xsi:type="dcterms:W3CDTF">2017-11-07T07:14:00Z</dcterms:modified>
</cp:coreProperties>
</file>