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66" w:rsidRPr="00DA70A0" w:rsidRDefault="00CA0866" w:rsidP="00CA0866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A70A0">
        <w:rPr>
          <w:rFonts w:ascii="Times New Roman" w:hAnsi="Times New Roman"/>
          <w:b/>
          <w:sz w:val="28"/>
          <w:szCs w:val="24"/>
        </w:rPr>
        <w:t>Перечень учебных</w:t>
      </w:r>
      <w:r w:rsidRPr="00256A54">
        <w:rPr>
          <w:rFonts w:ascii="Times New Roman" w:hAnsi="Times New Roman"/>
          <w:b/>
          <w:sz w:val="28"/>
          <w:szCs w:val="24"/>
        </w:rPr>
        <w:t>,</w:t>
      </w:r>
      <w:r w:rsidRPr="00DA70A0">
        <w:rPr>
          <w:rFonts w:ascii="Times New Roman" w:hAnsi="Times New Roman"/>
          <w:b/>
          <w:sz w:val="28"/>
          <w:szCs w:val="24"/>
        </w:rPr>
        <w:t xml:space="preserve"> учебно-методических материалов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pPr w:leftFromText="180" w:rightFromText="180" w:vertAnchor="text" w:horzAnchor="margin" w:tblpY="132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277"/>
        <w:gridCol w:w="2977"/>
        <w:gridCol w:w="1511"/>
        <w:gridCol w:w="1525"/>
      </w:tblGrid>
      <w:tr w:rsidR="00CA0866" w:rsidRPr="00D26E7E" w:rsidTr="00B45F4E">
        <w:trPr>
          <w:trHeight w:val="557"/>
        </w:trPr>
        <w:tc>
          <w:tcPr>
            <w:tcW w:w="517" w:type="dxa"/>
            <w:vMerge w:val="restart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</w:tcPr>
          <w:p w:rsidR="00CA0866" w:rsidRPr="00D26E7E" w:rsidRDefault="00CA0866" w:rsidP="00B45F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hAnsi="Times New Roman"/>
                <w:b/>
                <w:sz w:val="24"/>
                <w:szCs w:val="24"/>
              </w:rPr>
              <w:t>Наименование методич</w:t>
            </w:r>
            <w:r w:rsidRPr="00D26E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26E7E">
              <w:rPr>
                <w:rFonts w:ascii="Times New Roman" w:hAnsi="Times New Roman"/>
                <w:b/>
                <w:sz w:val="24"/>
                <w:szCs w:val="24"/>
              </w:rPr>
              <w:t>ских пособий и др. учебно-методических материалов</w:t>
            </w:r>
          </w:p>
        </w:tc>
        <w:tc>
          <w:tcPr>
            <w:tcW w:w="2977" w:type="dxa"/>
            <w:vMerge w:val="restart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Составители,</w:t>
            </w:r>
          </w:p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издательство, год изд</w:t>
            </w: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036" w:type="dxa"/>
            <w:gridSpan w:val="2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Обеспеченность</w:t>
            </w:r>
          </w:p>
        </w:tc>
      </w:tr>
      <w:tr w:rsidR="00CA0866" w:rsidRPr="00D26E7E" w:rsidTr="00B45F4E">
        <w:trPr>
          <w:trHeight w:val="788"/>
        </w:trPr>
        <w:tc>
          <w:tcPr>
            <w:tcW w:w="517" w:type="dxa"/>
            <w:vMerge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CA0866" w:rsidRPr="00D26E7E" w:rsidRDefault="00CA0866" w:rsidP="00B45F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на кафедре</w:t>
            </w:r>
          </w:p>
        </w:tc>
        <w:tc>
          <w:tcPr>
            <w:tcW w:w="1525" w:type="dxa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</w:t>
            </w: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ное издание</w:t>
            </w:r>
          </w:p>
        </w:tc>
      </w:tr>
      <w:tr w:rsidR="00CA0866" w:rsidRPr="00D26E7E" w:rsidTr="00B45F4E">
        <w:trPr>
          <w:trHeight w:val="285"/>
        </w:trPr>
        <w:tc>
          <w:tcPr>
            <w:tcW w:w="517" w:type="dxa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A0866" w:rsidRPr="00D26E7E" w:rsidRDefault="00CA0866" w:rsidP="00B45F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A0866" w:rsidRPr="00851E44" w:rsidTr="00B45F4E">
        <w:tc>
          <w:tcPr>
            <w:tcW w:w="517" w:type="dxa"/>
          </w:tcPr>
          <w:p w:rsidR="00CA0866" w:rsidRPr="00851E44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:rsidR="00CA0866" w:rsidRPr="00851E44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44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Волчаночный нефрит</w:t>
            </w:r>
          </w:p>
        </w:tc>
        <w:tc>
          <w:tcPr>
            <w:tcW w:w="2977" w:type="dxa"/>
          </w:tcPr>
          <w:p w:rsidR="00CA0866" w:rsidRPr="00851E44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 И.,</w:t>
            </w:r>
          </w:p>
          <w:p w:rsidR="00CA0866" w:rsidRPr="00851E44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Г.Ш.,</w:t>
            </w:r>
          </w:p>
          <w:p w:rsidR="00CA0866" w:rsidRPr="00851E44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 П.,</w:t>
            </w:r>
          </w:p>
          <w:p w:rsidR="00CA0866" w:rsidRDefault="00CA0866" w:rsidP="00B4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>Лехмус</w:t>
            </w:r>
            <w:proofErr w:type="spellEnd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851E4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proofErr w:type="gramEnd"/>
            <w:r w:rsidRPr="00851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A0866" w:rsidRPr="00851E44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«Феникс», Уфа, 2010.- 27 </w:t>
            </w:r>
            <w:proofErr w:type="gramStart"/>
            <w:r w:rsidRPr="00851E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1" w:type="dxa"/>
          </w:tcPr>
          <w:p w:rsidR="00CA0866" w:rsidRPr="00851E44" w:rsidRDefault="00CA0866" w:rsidP="00B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851E44" w:rsidRDefault="00CA0866" w:rsidP="00B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Хроническая болезнь почек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 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Г.Ш.,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 П.,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Лехмус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«Феникс», Уфа, 2010.- 2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средства и почки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Г.А.,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Бакиров А.Б.,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Мингазетдинова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Л.Н. 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Гермаш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Е.И.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Уфа, 2010.- 14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Фархутдинова Л.М.,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Аллабердина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Д.У.,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Л.П.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Отпечатано ООО «Феникс», Уфа, 2011.- 17 </w:t>
            </w:r>
            <w:proofErr w:type="gram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диабет: клинико-иммунологическая диагн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и принципы лечения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Фархутдинова Л.М.,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Аллабердина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Д.У.,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Л.П.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Отпечатано ООО «Феникс», Уфа, 2011.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Хроническая почечная нед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статочность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Л.П.,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Г.Ш.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тано ООО «Феникс», Уфа, 2011.- 30 </w:t>
            </w:r>
            <w:proofErr w:type="gram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Диабетическая нефропатия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Л.П.,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Г.Ш.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тано ООО «Феникс», Уфа, 2011.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 мочевыводящих путей.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Бессимптомная бактериурия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Г.Ш.,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Л.П.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Отпечатан</w:t>
            </w:r>
            <w:proofErr w:type="gram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«Феникс», Уфа, 2012.- 44 с.</w:t>
            </w:r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Метаболический синдром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Г.Ш.,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Л.П.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«Феникс», Уфа, 2012.- 26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Геморрагическая лихорадка с почечным синдромом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Л.П.,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Ш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но ООО «Феникс», Уфа, 2013.- 39 с.</w:t>
            </w:r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Подагрическая нефропатия: этиология, патогенез, клин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ка, лечение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Л.П.,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Ш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но ООО «Феникс», Уфа, 2013.- 26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Лимфаденопатии</w:t>
            </w:r>
            <w:proofErr w:type="spellEnd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практике врача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 И.,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 Ш.,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Ковалева Л. Г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Отпечатано ООО «Феникс», Уфа, 2013.- 394 </w:t>
            </w:r>
            <w:proofErr w:type="gram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 1-го типа: диагностика, лечение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Фархутдинова Л. М.,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 П.,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Веревкина  Т. И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proofErr w:type="gramStart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«Феникс», Уфа, 2013.- 18 с.</w:t>
            </w:r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 2-го типа: диагностика, лечение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Фархутдинова Л. М.,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Л. П.,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Веревкина  Т. И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«Феникс», Уфа, 2013.- 22</w:t>
            </w: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Уратная</w:t>
            </w:r>
            <w:proofErr w:type="spell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нефропатия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Г.Ш.,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Веревкина Т.И.,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Гермаш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Е. И.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Отпечатан</w:t>
            </w:r>
            <w:proofErr w:type="gram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«Феникс», Уфа, 2014.- 22 с.</w:t>
            </w:r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866" w:rsidRPr="004D69CD" w:rsidTr="00B45F4E">
        <w:tc>
          <w:tcPr>
            <w:tcW w:w="51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Принципы антимикробной терапии и профилактики инфекций мочевыводящих п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2977" w:type="dxa"/>
          </w:tcPr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Г.Ш.,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В.И.,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Веревкина Т.И., </w:t>
            </w:r>
          </w:p>
          <w:p w:rsidR="00CA0866" w:rsidRPr="004D69CD" w:rsidRDefault="00CA0866" w:rsidP="00B4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>Гермаш</w:t>
            </w:r>
            <w:proofErr w:type="spellEnd"/>
            <w:r w:rsidRPr="004D69C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Е. И.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Отпечатан</w:t>
            </w:r>
            <w:proofErr w:type="gram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«Феникс», Уфа, 2014.- 36 с.</w:t>
            </w:r>
          </w:p>
        </w:tc>
        <w:tc>
          <w:tcPr>
            <w:tcW w:w="1511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A0866" w:rsidRPr="004D69CD" w:rsidRDefault="00CA0866" w:rsidP="00B4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D7BF5" w:rsidRPr="00CA0866" w:rsidRDefault="005D7BF5" w:rsidP="00CA0866"/>
    <w:sectPr w:rsidR="005D7BF5" w:rsidRPr="00CA0866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F8A"/>
    <w:rsid w:val="004250EF"/>
    <w:rsid w:val="00510D11"/>
    <w:rsid w:val="005D7BF5"/>
    <w:rsid w:val="00735F8A"/>
    <w:rsid w:val="00C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8A"/>
    <w:pPr>
      <w:ind w:left="720"/>
      <w:contextualSpacing/>
    </w:pPr>
  </w:style>
  <w:style w:type="paragraph" w:customStyle="1" w:styleId="FR1">
    <w:name w:val="FR1"/>
    <w:rsid w:val="00735F8A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5</cp:revision>
  <dcterms:created xsi:type="dcterms:W3CDTF">2016-11-16T11:20:00Z</dcterms:created>
  <dcterms:modified xsi:type="dcterms:W3CDTF">2016-11-17T06:25:00Z</dcterms:modified>
</cp:coreProperties>
</file>