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032F">
      <w:pPr>
        <w:pStyle w:val="printredaction-line"/>
        <w:divId w:val="108791067"/>
      </w:pPr>
      <w:bookmarkStart w:id="0" w:name="_GoBack"/>
      <w:bookmarkEnd w:id="0"/>
      <w:r>
        <w:t>Редакция от 1 апр 2020</w:t>
      </w:r>
    </w:p>
    <w:p w:rsidR="00000000" w:rsidRDefault="00F9032F">
      <w:pPr>
        <w:pStyle w:val="2"/>
        <w:divId w:val="108791067"/>
        <w:rPr>
          <w:rFonts w:eastAsia="Times New Roman"/>
        </w:rPr>
      </w:pPr>
      <w:r>
        <w:rPr>
          <w:rFonts w:eastAsia="Times New Roman"/>
        </w:rPr>
        <w:t>Эпидемиология коронавирусной инфекции COVID-19, маршрутизация пациентов и дезинфекция в очагах инфекции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20"/>
        <w:gridCol w:w="7435"/>
      </w:tblGrid>
      <w:tr w:rsidR="00000000">
        <w:trPr>
          <w:divId w:val="108791067"/>
        </w:trPr>
        <w:tc>
          <w:tcPr>
            <w:tcW w:w="0" w:type="auto"/>
            <w:vAlign w:val="center"/>
            <w:hideMark/>
          </w:tcPr>
          <w:p w:rsidR="00000000" w:rsidRDefault="00F9032F">
            <w:pPr>
              <w:divId w:val="644628829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19175" cy="1257300"/>
                  <wp:effectExtent l="0" t="0" r="9525" b="0"/>
                  <wp:docPr id="1" name="Рисунок 1" descr="Марина Хода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ина Хода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9032F">
            <w:pPr>
              <w:pStyle w:val="authorabout"/>
            </w:pPr>
            <w:r>
              <w:t>Марина Ходакова, заведующая эпидемиологическим отделом ГАУЗ РТ «БСМП», город Набережные Челны</w:t>
            </w:r>
          </w:p>
        </w:tc>
      </w:tr>
    </w:tbl>
    <w:p w:rsidR="00000000" w:rsidRDefault="00F9032F">
      <w:pPr>
        <w:pStyle w:val="2"/>
        <w:divId w:val="248196373"/>
        <w:rPr>
          <w:rFonts w:eastAsia="Times New Roman"/>
        </w:rPr>
      </w:pPr>
      <w:r>
        <w:rPr>
          <w:rFonts w:eastAsia="Times New Roman"/>
        </w:rPr>
        <w:t>Эпидемиологическая характеристик</w:t>
      </w:r>
      <w:r>
        <w:rPr>
          <w:rFonts w:eastAsia="Times New Roman"/>
        </w:rPr>
        <w:t>а коронавирусной инфекци</w:t>
      </w:r>
      <w:r>
        <w:rPr>
          <w:rFonts w:eastAsia="Times New Roman"/>
        </w:rPr>
        <w:t>и</w:t>
      </w:r>
    </w:p>
    <w:p w:rsidR="00000000" w:rsidRDefault="00F9032F">
      <w:pPr>
        <w:pStyle w:val="a3"/>
        <w:divId w:val="1730417686"/>
      </w:pPr>
      <w:r>
        <w:t>Источник инфекции – больной человек, в частности, в инкубационном периоде. Природный резервуар не установлен</w:t>
      </w:r>
      <w:r>
        <w:t>.</w:t>
      </w:r>
    </w:p>
    <w:p w:rsidR="00000000" w:rsidRDefault="00F9032F">
      <w:pPr>
        <w:pStyle w:val="a3"/>
        <w:divId w:val="1730417686"/>
      </w:pPr>
      <w:r>
        <w:t>Подозрительный на COVID-19 случай – наличие клинических проявлений</w:t>
      </w:r>
      <w:r>
        <w:rPr>
          <w:rStyle w:val="a4"/>
        </w:rPr>
        <w:t xml:space="preserve"> </w:t>
      </w:r>
      <w:r>
        <w:t>острой респираторной инфекции, бронхита, пневмонии, О</w:t>
      </w:r>
      <w:r>
        <w:t>РДС, сепсиса в сочетании со следующими данными эпидемиологического анамнеза</w:t>
      </w:r>
      <w:r>
        <w:t>:</w:t>
      </w:r>
    </w:p>
    <w:p w:rsidR="00000000" w:rsidRDefault="00F9032F">
      <w:pPr>
        <w:numPr>
          <w:ilvl w:val="0"/>
          <w:numId w:val="1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возвращение из зарубежной поездки за 14 дней до появления симптомов;</w:t>
      </w:r>
    </w:p>
    <w:p w:rsidR="00000000" w:rsidRDefault="00F9032F">
      <w:pPr>
        <w:numPr>
          <w:ilvl w:val="0"/>
          <w:numId w:val="1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наличие тесных контактов за последние 14 дней с лицами, находящимися под наблюдением по инфекции, вызванной но</w:t>
      </w:r>
      <w:r>
        <w:rPr>
          <w:rFonts w:eastAsia="Times New Roman"/>
        </w:rPr>
        <w:t>вым коронавирусомSARS-CoV-2, которые в последующем заболели;</w:t>
      </w:r>
    </w:p>
    <w:p w:rsidR="00000000" w:rsidRDefault="00F9032F">
      <w:pPr>
        <w:numPr>
          <w:ilvl w:val="0"/>
          <w:numId w:val="1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наличие тесных контактов за последние 14 дней с лицами, у которых лабораторно подтвержден диагноз COVID-19.</w:t>
      </w:r>
    </w:p>
    <w:p w:rsidR="00000000" w:rsidRDefault="00F9032F">
      <w:pPr>
        <w:pStyle w:val="a3"/>
        <w:divId w:val="1730417686"/>
      </w:pPr>
      <w:r>
        <w:t>Установлена роль COVID-19 как инфекции, связанной с оказанием медицинской помощи</w:t>
      </w:r>
      <w:r>
        <w:t>.</w:t>
      </w:r>
    </w:p>
    <w:p w:rsidR="00000000" w:rsidRDefault="00F9032F">
      <w:pPr>
        <w:pStyle w:val="a3"/>
        <w:divId w:val="1730417686"/>
      </w:pPr>
      <w:r>
        <w:t>Инкуб</w:t>
      </w:r>
      <w:r>
        <w:t>ационный период: от 2 до 14 суток (средний – 5,2 дня). Для COVID-19 характерно наличие клинических симптомов острой респираторной вирусной инфекции</w:t>
      </w:r>
      <w:r>
        <w:t>:</w:t>
      </w:r>
    </w:p>
    <w:p w:rsidR="00000000" w:rsidRDefault="00F9032F">
      <w:pPr>
        <w:numPr>
          <w:ilvl w:val="0"/>
          <w:numId w:val="2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повышение температуры тела (&gt;90%);</w:t>
      </w:r>
    </w:p>
    <w:p w:rsidR="00000000" w:rsidRDefault="00F9032F">
      <w:pPr>
        <w:numPr>
          <w:ilvl w:val="0"/>
          <w:numId w:val="2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кашель (сухой или с небольшим количеством мокроты) в 80 % случаев;</w:t>
      </w:r>
    </w:p>
    <w:p w:rsidR="00000000" w:rsidRDefault="00F9032F">
      <w:pPr>
        <w:numPr>
          <w:ilvl w:val="0"/>
          <w:numId w:val="2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одышк</w:t>
      </w:r>
      <w:r>
        <w:rPr>
          <w:rFonts w:eastAsia="Times New Roman"/>
        </w:rPr>
        <w:t>а (55%);</w:t>
      </w:r>
    </w:p>
    <w:p w:rsidR="00000000" w:rsidRDefault="00F9032F">
      <w:pPr>
        <w:numPr>
          <w:ilvl w:val="0"/>
          <w:numId w:val="2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миалгии и утомляемость (44%);</w:t>
      </w:r>
    </w:p>
    <w:p w:rsidR="00000000" w:rsidRDefault="00F9032F">
      <w:pPr>
        <w:numPr>
          <w:ilvl w:val="0"/>
          <w:numId w:val="2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ощущение заложенности в грудной клетке (&gt;20%).</w:t>
      </w:r>
    </w:p>
    <w:p w:rsidR="00000000" w:rsidRDefault="00F9032F">
      <w:pPr>
        <w:pStyle w:val="a3"/>
        <w:divId w:val="1730417686"/>
      </w:pPr>
      <w:r>
        <w:t>Наиболее тяжелая одышка развивается к 6–8 дню от момента заражения. Также установлено, что среди первых симптомов могут быть миалгия (11%), спутанность сознания (9%), гол</w:t>
      </w:r>
      <w:r>
        <w:t>овные боли (8%), кровохарканье (5%), диарея (3%), тошнота, рвота, сердцебиение</w:t>
      </w:r>
      <w:r>
        <w:t>.</w:t>
      </w:r>
    </w:p>
    <w:p w:rsidR="00000000" w:rsidRDefault="00F9032F">
      <w:pPr>
        <w:pStyle w:val="a3"/>
        <w:divId w:val="1730417686"/>
      </w:pPr>
      <w:r>
        <w:lastRenderedPageBreak/>
        <w:t>Данные симптомы в дебюте инфекции могут наблюдаться без повышения температуры тела</w:t>
      </w:r>
      <w:r>
        <w:t>.</w:t>
      </w:r>
    </w:p>
    <w:p w:rsidR="00000000" w:rsidRDefault="00F9032F">
      <w:pPr>
        <w:pStyle w:val="a3"/>
        <w:divId w:val="1730417686"/>
      </w:pPr>
      <w:r>
        <w:t>Клинические варианты и проявления 2019-nCoV инфекции</w:t>
      </w:r>
      <w:r>
        <w:t>:</w:t>
      </w:r>
    </w:p>
    <w:p w:rsidR="00000000" w:rsidRDefault="00F9032F">
      <w:pPr>
        <w:pStyle w:val="a3"/>
        <w:divId w:val="1730417686"/>
      </w:pPr>
      <w:r>
        <w:t>1. Острая респираторная вирусная инфекция легкого течения.</w:t>
      </w:r>
      <w:r>
        <w:br/>
        <w:t>2. Пневмония без дыхательной недостаточности.</w:t>
      </w:r>
      <w:r>
        <w:br/>
        <w:t>3. Пневмония с ОДН.4.ОРДС.</w:t>
      </w:r>
      <w:r>
        <w:br/>
        <w:t>5. Сепсис.</w:t>
      </w:r>
      <w:r>
        <w:br/>
        <w:t>6. Септический (инфекционно-токсический) шок.</w:t>
      </w:r>
      <w:r>
        <w:br/>
        <w:t>Гипоксемия (снижение SpO2 менее 88%) развивается более чем у 30% па</w:t>
      </w:r>
      <w:r>
        <w:t>циентов</w:t>
      </w:r>
      <w:r>
        <w:t>.</w:t>
      </w:r>
    </w:p>
    <w:p w:rsidR="00000000" w:rsidRDefault="00F9032F">
      <w:pPr>
        <w:pStyle w:val="a3"/>
        <w:divId w:val="1730417686"/>
      </w:pPr>
      <w:r>
        <w:t>Пути передачи</w:t>
      </w:r>
      <w:r>
        <w:t>:</w:t>
      </w:r>
    </w:p>
    <w:p w:rsidR="00000000" w:rsidRDefault="00F9032F">
      <w:pPr>
        <w:numPr>
          <w:ilvl w:val="0"/>
          <w:numId w:val="3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воздушно-капельный (чихание, кашель, разговор);</w:t>
      </w:r>
    </w:p>
    <w:p w:rsidR="00000000" w:rsidRDefault="00F9032F">
      <w:pPr>
        <w:numPr>
          <w:ilvl w:val="0"/>
          <w:numId w:val="3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воздушно-пылевой;</w:t>
      </w:r>
    </w:p>
    <w:p w:rsidR="00000000" w:rsidRDefault="00F9032F">
      <w:pPr>
        <w:numPr>
          <w:ilvl w:val="0"/>
          <w:numId w:val="3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контактный.</w:t>
      </w:r>
    </w:p>
    <w:p w:rsidR="00000000" w:rsidRDefault="00F9032F">
      <w:pPr>
        <w:pStyle w:val="a3"/>
        <w:divId w:val="1730417686"/>
      </w:pPr>
      <w:r>
        <w:t>Факторы передачи</w:t>
      </w:r>
      <w:r>
        <w:t>:</w:t>
      </w:r>
    </w:p>
    <w:p w:rsidR="00000000" w:rsidRDefault="00F9032F">
      <w:pPr>
        <w:numPr>
          <w:ilvl w:val="0"/>
          <w:numId w:val="4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воздух;</w:t>
      </w:r>
    </w:p>
    <w:p w:rsidR="00000000" w:rsidRDefault="00F9032F">
      <w:pPr>
        <w:numPr>
          <w:ilvl w:val="0"/>
          <w:numId w:val="4"/>
        </w:numPr>
        <w:spacing w:after="103"/>
        <w:ind w:left="686"/>
        <w:divId w:val="1730417686"/>
        <w:rPr>
          <w:rFonts w:eastAsia="Times New Roman"/>
        </w:rPr>
      </w:pPr>
      <w:r>
        <w:rPr>
          <w:rFonts w:eastAsia="Times New Roman"/>
        </w:rPr>
        <w:t>пищевые продукты и предметы обихода, контаминированные коронавирусом.</w:t>
      </w:r>
    </w:p>
    <w:p w:rsidR="00000000" w:rsidRDefault="00F9032F">
      <w:pPr>
        <w:pStyle w:val="2"/>
        <w:divId w:val="248196373"/>
        <w:rPr>
          <w:rFonts w:eastAsia="Times New Roman"/>
        </w:rPr>
      </w:pPr>
      <w:r>
        <w:rPr>
          <w:rFonts w:eastAsia="Times New Roman"/>
        </w:rPr>
        <w:t>Принципы госпитализации пациента с подозрением на новую ко</w:t>
      </w:r>
      <w:r>
        <w:rPr>
          <w:rFonts w:eastAsia="Times New Roman"/>
        </w:rPr>
        <w:t>ронавирусную инфекци</w:t>
      </w:r>
      <w:r>
        <w:rPr>
          <w:rFonts w:eastAsia="Times New Roman"/>
        </w:rPr>
        <w:t>ю</w:t>
      </w:r>
    </w:p>
    <w:p w:rsidR="00000000" w:rsidRDefault="00F9032F">
      <w:pPr>
        <w:pStyle w:val="a3"/>
        <w:divId w:val="41944766"/>
      </w:pPr>
      <w:r>
        <w:t>1. Пациента с подозрением на коронавирусную инфекцию госпитализируют в медицинские организации, имеющие в своем составе мельцеровские боксы, либо в медицинские организации, перепрофилируемые под специализированные учреждения той админ</w:t>
      </w:r>
      <w:r>
        <w:t>истративной территории, где выявили больного</w:t>
      </w:r>
      <w:r>
        <w:t>.</w:t>
      </w:r>
    </w:p>
    <w:p w:rsidR="00000000" w:rsidRDefault="00F9032F">
      <w:pPr>
        <w:pStyle w:val="a3"/>
        <w:divId w:val="41944766"/>
      </w:pPr>
      <w:r>
        <w:t>Региональные органы власти в сфере здравоохранения определяют список МО, готовых принять пациентов с коронавирусной инфекцией. Это инфекционные больницы и отделения, а также специально созданные для пациентов с</w:t>
      </w:r>
      <w:r>
        <w:t xml:space="preserve"> COVID-19 или перепрофилированные стационары. Госпитализация пациентов с COVID-19 в терапевтические, пульмонологические отделения и отделения анестезиологии и реанимации иных МО исключена</w:t>
      </w:r>
      <w:r>
        <w:t>.</w:t>
      </w:r>
    </w:p>
    <w:p w:rsidR="00000000" w:rsidRDefault="00F9032F">
      <w:pPr>
        <w:pStyle w:val="a3"/>
        <w:divId w:val="41944766"/>
      </w:pPr>
      <w:r>
        <w:t>Если у пациента инкубационный период или легкая форма заболевания и</w:t>
      </w:r>
      <w:r>
        <w:t xml:space="preserve"> при этом острая патология или обострение основного заболевания, возможность его госпитализации в непрофильный стационар обсуждается индивидуально. Нужно заранее отработать готовность реагировать на указанные случаи</w:t>
      </w:r>
      <w:r>
        <w:t>.</w:t>
      </w:r>
    </w:p>
    <w:p w:rsidR="00000000" w:rsidRDefault="00F9032F">
      <w:pPr>
        <w:pStyle w:val="3"/>
        <w:divId w:val="2030713763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F9032F">
      <w:pPr>
        <w:pStyle w:val="incut-v4title"/>
        <w:divId w:val="2030713763"/>
      </w:pPr>
      <w:bookmarkStart w:id="1" w:name="bss-anchor"/>
      <w:bookmarkStart w:id="2" w:name="bssPhr22"/>
      <w:bookmarkStart w:id="3" w:name="dfasg0a0ws"/>
      <w:bookmarkEnd w:id="1"/>
      <w:bookmarkEnd w:id="2"/>
      <w:bookmarkEnd w:id="3"/>
      <w:r>
        <w:t>что делать, если в непрофильнм</w:t>
      </w:r>
      <w:r>
        <w:t xml:space="preserve"> стационаре у пациента выявили коронавиру</w:t>
      </w:r>
      <w:r>
        <w:t>с</w:t>
      </w:r>
    </w:p>
    <w:p w:rsidR="00000000" w:rsidRDefault="00F9032F">
      <w:pPr>
        <w:pStyle w:val="a3"/>
        <w:divId w:val="820848242"/>
      </w:pPr>
      <w:r>
        <w:t>В случае подтверждения диагноза COVID-19 в стационаре необходимо выявить всех, кто имел контакт с пациентом. Проверяют</w:t>
      </w:r>
      <w:r>
        <w:t>:</w:t>
      </w:r>
    </w:p>
    <w:p w:rsidR="00000000" w:rsidRDefault="00F9032F">
      <w:pPr>
        <w:numPr>
          <w:ilvl w:val="0"/>
          <w:numId w:val="5"/>
        </w:numPr>
        <w:spacing w:after="103"/>
        <w:ind w:left="686"/>
        <w:divId w:val="820848242"/>
        <w:rPr>
          <w:rFonts w:eastAsia="Times New Roman"/>
        </w:rPr>
      </w:pPr>
      <w:r>
        <w:rPr>
          <w:rFonts w:eastAsia="Times New Roman"/>
        </w:rPr>
        <w:lastRenderedPageBreak/>
        <w:t>находившихся в учреждении в момент выявления;</w:t>
      </w:r>
    </w:p>
    <w:p w:rsidR="00000000" w:rsidRDefault="00F9032F">
      <w:pPr>
        <w:numPr>
          <w:ilvl w:val="0"/>
          <w:numId w:val="5"/>
        </w:numPr>
        <w:spacing w:after="103"/>
        <w:ind w:left="686"/>
        <w:divId w:val="820848242"/>
        <w:rPr>
          <w:rFonts w:eastAsia="Times New Roman"/>
        </w:rPr>
      </w:pPr>
      <w:r>
        <w:rPr>
          <w:rFonts w:eastAsia="Times New Roman"/>
        </w:rPr>
        <w:t>переведенных или направленных (на консультацию,</w:t>
      </w:r>
      <w:r>
        <w:rPr>
          <w:rFonts w:eastAsia="Times New Roman"/>
        </w:rPr>
        <w:t xml:space="preserve"> стационарное лечение) в другие медицинские организации, и выписанных;</w:t>
      </w:r>
    </w:p>
    <w:p w:rsidR="00000000" w:rsidRDefault="00F9032F">
      <w:pPr>
        <w:numPr>
          <w:ilvl w:val="0"/>
          <w:numId w:val="5"/>
        </w:numPr>
        <w:spacing w:after="103"/>
        <w:ind w:left="686"/>
        <w:divId w:val="820848242"/>
        <w:rPr>
          <w:rFonts w:eastAsia="Times New Roman"/>
        </w:rPr>
      </w:pPr>
      <w:r>
        <w:rPr>
          <w:rFonts w:eastAsia="Times New Roman"/>
        </w:rPr>
        <w:t>медицинских и иных работников (гардероб, регистратура, диагностические, смотровые кабинеты);</w:t>
      </w:r>
    </w:p>
    <w:p w:rsidR="00000000" w:rsidRDefault="00F9032F">
      <w:pPr>
        <w:numPr>
          <w:ilvl w:val="0"/>
          <w:numId w:val="5"/>
        </w:numPr>
        <w:spacing w:after="103"/>
        <w:ind w:left="686"/>
        <w:divId w:val="820848242"/>
        <w:rPr>
          <w:rFonts w:eastAsia="Times New Roman"/>
        </w:rPr>
      </w:pPr>
      <w:r>
        <w:rPr>
          <w:rFonts w:eastAsia="Times New Roman"/>
        </w:rPr>
        <w:t>посетителей медицинской организации, а также посетителей, покинувших медицинскую организацию</w:t>
      </w:r>
      <w:r>
        <w:rPr>
          <w:rFonts w:eastAsia="Times New Roman"/>
        </w:rPr>
        <w:t xml:space="preserve"> к моменту выявления пациента;</w:t>
      </w:r>
    </w:p>
    <w:p w:rsidR="00000000" w:rsidRDefault="00F9032F">
      <w:pPr>
        <w:numPr>
          <w:ilvl w:val="0"/>
          <w:numId w:val="5"/>
        </w:numPr>
        <w:spacing w:after="103"/>
        <w:ind w:left="686"/>
        <w:divId w:val="820848242"/>
        <w:rPr>
          <w:rFonts w:eastAsia="Times New Roman"/>
        </w:rPr>
      </w:pPr>
      <w:r>
        <w:rPr>
          <w:rFonts w:eastAsia="Times New Roman"/>
        </w:rPr>
        <w:t>людей по месту жительства пациента, работы, учебы.</w:t>
      </w:r>
    </w:p>
    <w:p w:rsidR="00000000" w:rsidRDefault="00F9032F">
      <w:pPr>
        <w:pStyle w:val="a3"/>
        <w:divId w:val="820848242"/>
      </w:pPr>
      <w:r>
        <w:t>За лицами, контактными с пациентом, устанавливают медицинское наблюдение</w:t>
      </w:r>
      <w:r>
        <w:t>.</w:t>
      </w:r>
    </w:p>
    <w:p w:rsidR="00000000" w:rsidRDefault="00F9032F">
      <w:pPr>
        <w:pStyle w:val="a3"/>
        <w:divId w:val="41944766"/>
      </w:pPr>
      <w:r>
        <w:t>2. Требования к работе в госпиталях, изоляторах и обсерваторах в очагах заболеваний, вызванных микро</w:t>
      </w:r>
      <w:r>
        <w:t>организмами I–II групп патогенности, указаны в СП 1.3.3118-13 «Безопасность работы с микроорганизмами I–II групп патогенности (опасности)»</w:t>
      </w:r>
      <w:r>
        <w:t>.</w:t>
      </w:r>
      <w:r>
        <w:br/>
      </w:r>
      <w:r>
        <w:br/>
        <w:t>3. Медпомощь больным с инфекционным заболеванием в процессе подготовки и проведения медицинской эвакуации оказывает</w:t>
      </w:r>
      <w:r>
        <w:t>ся в соответствии с порядками оказания медпомощи (приказы Минздрава от 31.01.2012 № 69н и от 05.05.2012 № 521н), клиническими рекомендациями и стандартами медпомощи.</w:t>
      </w:r>
      <w:r>
        <w:br/>
      </w:r>
      <w:r>
        <w:br/>
        <w:t>4. При наличии жизнеугрожающих синдромокомплексов проводятся реанимационные мероприятия и</w:t>
      </w:r>
      <w:r>
        <w:t xml:space="preserve"> интенсивная терапия по утвержденным схемам.</w:t>
      </w:r>
      <w:r>
        <w:br/>
      </w:r>
      <w:r>
        <w:br/>
        <w:t>5. Пациенты с инфекционным заболеванием перевозятся без транспортировочного изолирующего бокса (ТИБ) или в нем.</w:t>
      </w:r>
    </w:p>
    <w:p w:rsidR="00000000" w:rsidRDefault="00F9032F">
      <w:pPr>
        <w:pStyle w:val="2"/>
        <w:divId w:val="248196373"/>
        <w:rPr>
          <w:rFonts w:eastAsia="Times New Roman"/>
        </w:rPr>
      </w:pPr>
      <w:r>
        <w:rPr>
          <w:rFonts w:eastAsia="Times New Roman"/>
        </w:rPr>
        <w:t>Принципы разделения потоко</w:t>
      </w:r>
      <w:r>
        <w:rPr>
          <w:rFonts w:eastAsia="Times New Roman"/>
        </w:rPr>
        <w:t>в</w:t>
      </w:r>
    </w:p>
    <w:p w:rsidR="00000000" w:rsidRDefault="00F9032F">
      <w:pPr>
        <w:pStyle w:val="a3"/>
        <w:divId w:val="791095987"/>
      </w:pPr>
      <w:r>
        <w:t>Риск заражения оценивают на основании анализа потоков пациентов, посет</w:t>
      </w:r>
      <w:r>
        <w:t>ителей, лабораторных образцов и персонала</w:t>
      </w:r>
      <w:r>
        <w:t>.</w:t>
      </w:r>
    </w:p>
    <w:p w:rsidR="00000000" w:rsidRDefault="00F9032F">
      <w:pPr>
        <w:pStyle w:val="a3"/>
        <w:divId w:val="791095987"/>
      </w:pPr>
      <w:r>
        <w:t>Необходимо обеспечить максимальное разобщение потоков для выделения зон низкого риска, </w:t>
      </w:r>
      <w:r>
        <w:t>где использование СИЗ не требуется, и высокого риска, где оно необходимо. Зоны высокого риска должны быть обозначены специальными предупреждающими знаками, запрещающими доступ туда посторонних лиц без средств защиты</w:t>
      </w:r>
      <w:r>
        <w:t>.</w:t>
      </w:r>
    </w:p>
    <w:p w:rsidR="00000000" w:rsidRDefault="00F9032F">
      <w:pPr>
        <w:pStyle w:val="a3"/>
        <w:divId w:val="791095987"/>
      </w:pPr>
      <w:r>
        <w:t>Выделять зоны отдыха персонала и помеще</w:t>
      </w:r>
      <w:r>
        <w:t>ния для офисной работы следует в максимально изолированных помещениях, куда исключен переток инфицированного воздуха из зон высокого риска. Использование СИЗ в этих помещениях не требуется</w:t>
      </w:r>
      <w:r>
        <w:t>.</w:t>
      </w:r>
    </w:p>
    <w:p w:rsidR="00000000" w:rsidRDefault="00F9032F">
      <w:pPr>
        <w:pStyle w:val="a3"/>
        <w:divId w:val="791095987"/>
      </w:pPr>
      <w:r>
        <w:t>На основе оценки риска выделите более узкие группы персонала, кото</w:t>
      </w:r>
      <w:r>
        <w:t>рый работает в условиях наиболее высокого риска, где требуется применение СИЗ. Прочий персонал при этом для работы в условиях низкого или среднего уровня риска может эффективно использовать организационные меры по его снижению и меры контроля среды обитани</w:t>
      </w:r>
      <w:r>
        <w:t>я (проветривание, ультрафиолетовые излучатели)</w:t>
      </w:r>
      <w:r>
        <w:t>.</w:t>
      </w:r>
    </w:p>
    <w:p w:rsidR="00000000" w:rsidRDefault="00F9032F">
      <w:pPr>
        <w:pStyle w:val="a3"/>
        <w:divId w:val="791095987"/>
      </w:pPr>
      <w:r>
        <w:rPr>
          <w:rStyle w:val="a4"/>
        </w:rPr>
        <w:t>Сортировка пациентов многопрофильной больниц</w:t>
      </w:r>
      <w:r>
        <w:rPr>
          <w:rStyle w:val="a4"/>
        </w:rPr>
        <w:t>ы</w:t>
      </w:r>
    </w:p>
    <w:p w:rsidR="00000000" w:rsidRDefault="00F9032F">
      <w:pPr>
        <w:divId w:val="791095987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5810250" cy="4362450"/>
            <wp:effectExtent l="0" t="0" r="0" b="0"/>
            <wp:docPr id="2" name="-19308981" descr="https://vip.1glv.ru/system/content/image/96/1/-19308981/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308981" descr="https://vip.1glv.ru/system/content/image/96/1/-19308981/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032F">
      <w:pPr>
        <w:pStyle w:val="2"/>
        <w:divId w:val="248196373"/>
        <w:rPr>
          <w:rFonts w:eastAsia="Times New Roman"/>
        </w:rPr>
      </w:pPr>
      <w:r>
        <w:rPr>
          <w:rFonts w:eastAsia="Times New Roman"/>
        </w:rPr>
        <w:t>Как проводить дезинфекцию после транспортировки пациента с COVI</w:t>
      </w:r>
      <w:r>
        <w:rPr>
          <w:rFonts w:eastAsia="Times New Roman"/>
        </w:rPr>
        <w:t>D-1</w:t>
      </w:r>
      <w:r>
        <w:rPr>
          <w:rFonts w:eastAsia="Times New Roman"/>
        </w:rPr>
        <w:t>9</w:t>
      </w:r>
    </w:p>
    <w:p w:rsidR="00000000" w:rsidRDefault="00F9032F">
      <w:pPr>
        <w:pStyle w:val="a3"/>
        <w:divId w:val="2069299764"/>
      </w:pPr>
      <w:r>
        <w:rPr>
          <w:rStyle w:val="a4"/>
        </w:rPr>
        <w:t>Дезсредства для проведения дезинфекции при COVID-1</w:t>
      </w:r>
      <w:r>
        <w:rPr>
          <w:rStyle w:val="a4"/>
        </w:rPr>
        <w:t>9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Хлорактивные – натриевая соль дихлоризоциануровой кислоты в концентрации активного хлора в рабочем растворе не менее 0,06%; хлорамин Б в концентрации активного хлора в рабочем растворе не менее 3,0%)</w:t>
      </w:r>
      <w:r>
        <w:rPr>
          <w:rFonts w:eastAsia="Times New Roman"/>
        </w:rPr>
        <w:t>.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Кислородактивные  – перекись водорода в концентрации не менее 3,0%; катионные поверхностно-активные вещества (КПАВ).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Четвертичные аммониевые соединения в концентрации в рабочем растворе не менее 0,5% и третичные амины в концентрации в рабочем растворе не</w:t>
      </w:r>
      <w:r>
        <w:rPr>
          <w:rFonts w:eastAsia="Times New Roman"/>
        </w:rPr>
        <w:t xml:space="preserve"> менее 0,05%.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Полимерные производные гуанидина в концентрации в рабочем растворе не менее 0,2%.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Спирты – в качестве кожных антисептиков и дезинфицирующих средств для обработки небольших по площади поверхностей.</w:t>
      </w:r>
    </w:p>
    <w:p w:rsidR="00000000" w:rsidRDefault="00F9032F">
      <w:pPr>
        <w:numPr>
          <w:ilvl w:val="0"/>
          <w:numId w:val="6"/>
        </w:numPr>
        <w:spacing w:after="103"/>
        <w:ind w:left="686"/>
        <w:divId w:val="2069299764"/>
        <w:rPr>
          <w:rFonts w:eastAsia="Times New Roman"/>
        </w:rPr>
      </w:pPr>
      <w:r>
        <w:rPr>
          <w:rFonts w:eastAsia="Times New Roman"/>
        </w:rPr>
        <w:t>Изопропиловый спирт в концентрации не менее 7</w:t>
      </w:r>
      <w:r>
        <w:rPr>
          <w:rFonts w:eastAsia="Times New Roman"/>
        </w:rPr>
        <w:t>0% по массе, этиловый спирт в концентрации не менее 75% по массе.</w:t>
      </w:r>
    </w:p>
    <w:p w:rsidR="00000000" w:rsidRDefault="00F9032F">
      <w:pPr>
        <w:pStyle w:val="a3"/>
        <w:divId w:val="2069299764"/>
      </w:pPr>
      <w:r>
        <w:rPr>
          <w:rStyle w:val="a4"/>
        </w:rPr>
        <w:t>Профилактическая дезинфекци</w:t>
      </w:r>
      <w:r>
        <w:rPr>
          <w:rStyle w:val="a4"/>
        </w:rPr>
        <w:t>я</w:t>
      </w:r>
    </w:p>
    <w:p w:rsidR="00000000" w:rsidRDefault="00F9032F">
      <w:pPr>
        <w:pStyle w:val="a3"/>
        <w:divId w:val="2069299764"/>
      </w:pPr>
      <w:r>
        <w:t xml:space="preserve">Дезинфекция в профилактических целях начинается немедленно при возникновении угрозы заболевания, чтобы предупредить проникновение и распространение возбудителя </w:t>
      </w:r>
      <w:r>
        <w:lastRenderedPageBreak/>
        <w:t>з</w:t>
      </w:r>
      <w:r>
        <w:t>аболевания в коллективы людей на объектах, в учреждениях, на территориях, где это заболевание отсутствует, но имеется угроза его заноса извне</w:t>
      </w:r>
      <w:r>
        <w:t>.</w:t>
      </w:r>
    </w:p>
    <w:p w:rsidR="00000000" w:rsidRDefault="00F9032F">
      <w:pPr>
        <w:pStyle w:val="a3"/>
        <w:divId w:val="2069299764"/>
      </w:pPr>
      <w:r>
        <w:t>Включает меры личной гигиены, частое мытье рук с мылом или протирку их кожными антисептиками, регулярное проветри</w:t>
      </w:r>
      <w:r>
        <w:t>вание помещений, проведение влажной уборки</w:t>
      </w:r>
      <w:r>
        <w:t>.</w:t>
      </w:r>
    </w:p>
    <w:p w:rsidR="00000000" w:rsidRDefault="00F9032F">
      <w:pPr>
        <w:pStyle w:val="a3"/>
        <w:divId w:val="2069299764"/>
      </w:pPr>
      <w:r>
        <w:t>Для дезинфекции применяют наименее токсичные средства. Мероприятия прекращаются через 5 дней после ликвидации угрозы заноса возбудителя</w:t>
      </w:r>
      <w:r>
        <w:t>.</w:t>
      </w:r>
    </w:p>
    <w:p w:rsidR="00000000" w:rsidRDefault="00F9032F">
      <w:pPr>
        <w:pStyle w:val="a3"/>
        <w:divId w:val="2069299764"/>
      </w:pPr>
      <w:r>
        <w:rPr>
          <w:rStyle w:val="a4"/>
        </w:rPr>
        <w:t>Очаговая дезинфекция текуща</w:t>
      </w:r>
      <w:r>
        <w:rPr>
          <w:rStyle w:val="a4"/>
        </w:rPr>
        <w:t>я</w:t>
      </w:r>
    </w:p>
    <w:p w:rsidR="00000000" w:rsidRDefault="00F9032F">
      <w:pPr>
        <w:pStyle w:val="a3"/>
        <w:divId w:val="2069299764"/>
      </w:pPr>
      <w:r>
        <w:t>Текущую дезинфекцию в очаге проводят в течение</w:t>
      </w:r>
      <w:r>
        <w:t xml:space="preserve">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</w:t>
      </w:r>
      <w:r>
        <w:t>хода обрабатывают способом погружения в растворы дезинфицирующих средств</w:t>
      </w:r>
      <w:r>
        <w:t>.</w:t>
      </w:r>
    </w:p>
    <w:p w:rsidR="00000000" w:rsidRDefault="00F9032F">
      <w:pPr>
        <w:pStyle w:val="a3"/>
        <w:divId w:val="2069299764"/>
      </w:pPr>
      <w: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</w:t>
      </w:r>
      <w:r>
        <w:t>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</w:t>
      </w:r>
      <w:r>
        <w:t>.</w:t>
      </w:r>
    </w:p>
    <w:p w:rsidR="00000000" w:rsidRDefault="00F9032F">
      <w:pPr>
        <w:pStyle w:val="a3"/>
        <w:divId w:val="2069299764"/>
      </w:pPr>
      <w:r>
        <w:t>Воздух в присутствии людей рекомендуется обрабатывать с использованием т</w:t>
      </w:r>
      <w:r>
        <w:t>ехнологий и оборудования, разрешенных к применению в установленном порядке, на основе использования ультрафиолетового излучения (рециркуляторов), различных видов фильтров (в частности электрофильтров) в соответствии с действующими методическими документами</w:t>
      </w:r>
      <w:r>
        <w:t>.</w:t>
      </w:r>
    </w:p>
    <w:p w:rsidR="00000000" w:rsidRDefault="00F9032F">
      <w:pPr>
        <w:pStyle w:val="a3"/>
        <w:divId w:val="2069299764"/>
      </w:pPr>
      <w:r>
        <w:rPr>
          <w:rStyle w:val="a4"/>
        </w:rPr>
        <w:t>Заключительная очаговая дезинфекци</w:t>
      </w:r>
      <w:r>
        <w:rPr>
          <w:rStyle w:val="a4"/>
        </w:rPr>
        <w:t>я</w:t>
      </w:r>
    </w:p>
    <w:p w:rsidR="00000000" w:rsidRDefault="00F9032F">
      <w:pPr>
        <w:pStyle w:val="a3"/>
        <w:divId w:val="2069299764"/>
      </w:pPr>
      <w:r>
        <w:t>Заключительную дезинфекцию в инфекционном очаге проводят после выбытия больного из очага. Для обработки используют наиболее надежные дезинфицирующие средства на основе хлорактивных и кислородактивных соединений</w:t>
      </w:r>
      <w:r>
        <w:t>.</w:t>
      </w:r>
    </w:p>
    <w:p w:rsidR="00000000" w:rsidRDefault="00F9032F">
      <w:pPr>
        <w:pStyle w:val="a3"/>
        <w:divId w:val="2069299764"/>
      </w:pPr>
      <w:r>
        <w:t>При об</w:t>
      </w:r>
      <w:r>
        <w:t>работке поверхностей в помещениях применяют способ орошения. Воздух в отсутствие людей рекомендуется обрабатывать с использованием открытых ультрафиолетовых облучателей, аэрозолей дезинфицирующих средств</w:t>
      </w:r>
      <w:r>
        <w:t>.</w:t>
      </w:r>
    </w:p>
    <w:p w:rsidR="00F9032F" w:rsidRDefault="00F9032F">
      <w:pPr>
        <w:divId w:val="15435916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</w:t>
      </w:r>
      <w:r>
        <w:rPr>
          <w:rFonts w:ascii="Arial" w:eastAsia="Times New Roman" w:hAnsi="Arial" w:cs="Arial"/>
          <w:sz w:val="20"/>
          <w:szCs w:val="20"/>
        </w:rPr>
        <w:t>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10.04.2020</w:t>
      </w:r>
    </w:p>
    <w:sectPr w:rsidR="00F9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BFF"/>
    <w:multiLevelType w:val="multilevel"/>
    <w:tmpl w:val="DC1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1700"/>
    <w:multiLevelType w:val="multilevel"/>
    <w:tmpl w:val="017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37B09"/>
    <w:multiLevelType w:val="multilevel"/>
    <w:tmpl w:val="AF8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348E"/>
    <w:multiLevelType w:val="multilevel"/>
    <w:tmpl w:val="F1B6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1DC5"/>
    <w:multiLevelType w:val="multilevel"/>
    <w:tmpl w:val="71C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77F2E"/>
    <w:multiLevelType w:val="multilevel"/>
    <w:tmpl w:val="96D4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344A"/>
    <w:rsid w:val="0086344A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DC20-8625-40C5-B34B-6E7ECEA4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06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37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160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vip.1glv.ru/system/content/image/96/1/-193089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lv.ru/system/content/attachment/1/16/-230535/" TargetMode="External"/><Relationship Id="rId5" Type="http://schemas.openxmlformats.org/officeDocument/2006/relationships/image" Target="https://vip.1glv.ru/system/content/image/96/1/-193089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glav-vrach</dc:creator>
  <cp:keywords/>
  <dc:description/>
  <cp:lastModifiedBy>glav-vrach</cp:lastModifiedBy>
  <cp:revision>2</cp:revision>
  <dcterms:created xsi:type="dcterms:W3CDTF">2020-04-10T04:32:00Z</dcterms:created>
  <dcterms:modified xsi:type="dcterms:W3CDTF">2020-04-10T04:32:00Z</dcterms:modified>
</cp:coreProperties>
</file>