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C7" w:rsidRPr="00771F6E" w:rsidRDefault="000E60C7" w:rsidP="007F1E9E">
      <w:pPr>
        <w:rPr>
          <w:lang w:eastAsia="zh-CN"/>
        </w:rPr>
      </w:pPr>
    </w:p>
    <w:p w:rsidR="005D6E89" w:rsidRPr="00771F6E" w:rsidRDefault="005D6E89" w:rsidP="007F1E9E">
      <w:pPr>
        <w:rPr>
          <w:lang w:eastAsia="zh-CN"/>
        </w:rPr>
      </w:pPr>
    </w:p>
    <w:p w:rsidR="004870AC" w:rsidRPr="00771F6E" w:rsidRDefault="004870AC" w:rsidP="007F1E9E">
      <w:pPr>
        <w:rPr>
          <w:lang w:eastAsia="zh-CN"/>
        </w:rPr>
      </w:pPr>
    </w:p>
    <w:p w:rsidR="006A4D8C" w:rsidRDefault="006A4D8C" w:rsidP="00FC0090">
      <w:pPr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  <w:r w:rsidRPr="006A4D8C">
        <w:rPr>
          <w:rFonts w:ascii="Times New Roman" w:eastAsia="TimesNewRoman" w:hAnsi="Times New Roman"/>
          <w:sz w:val="28"/>
          <w:szCs w:val="28"/>
        </w:rPr>
        <w:t>Научное общество нефрологов России</w:t>
      </w:r>
    </w:p>
    <w:p w:rsidR="00FC0090" w:rsidRPr="006A4D8C" w:rsidRDefault="00FC0090" w:rsidP="00FC0090">
      <w:pPr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</w:p>
    <w:p w:rsidR="006A4D8C" w:rsidRPr="006A4D8C" w:rsidRDefault="006A4D8C" w:rsidP="00FC0090">
      <w:pPr>
        <w:spacing w:after="0" w:line="240" w:lineRule="auto"/>
        <w:jc w:val="center"/>
        <w:rPr>
          <w:rFonts w:ascii="Times New Roman" w:eastAsia="TimesNewRoman" w:hAnsi="Times New Roman"/>
          <w:sz w:val="28"/>
          <w:szCs w:val="28"/>
        </w:rPr>
      </w:pPr>
      <w:r w:rsidRPr="006A4D8C">
        <w:rPr>
          <w:rFonts w:ascii="Times New Roman" w:eastAsia="TimesNewRoman" w:hAnsi="Times New Roman"/>
          <w:sz w:val="28"/>
          <w:szCs w:val="28"/>
        </w:rPr>
        <w:t>Ассоциация нефрологов России</w:t>
      </w:r>
    </w:p>
    <w:p w:rsidR="006A4D8C" w:rsidRDefault="006A4D8C" w:rsidP="007F1E9E">
      <w:pPr>
        <w:pStyle w:val="Chap-Name"/>
        <w:spacing w:before="0" w:after="0"/>
        <w:ind w:left="0" w:firstLine="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A4D8C" w:rsidRDefault="006A4D8C" w:rsidP="006A4D8C">
      <w:pPr>
        <w:pStyle w:val="5"/>
        <w:rPr>
          <w:lang w:eastAsia="zh-CN"/>
        </w:rPr>
      </w:pPr>
    </w:p>
    <w:p w:rsidR="006A4D8C" w:rsidRDefault="006A4D8C" w:rsidP="006A4D8C">
      <w:pPr>
        <w:rPr>
          <w:lang w:eastAsia="zh-CN"/>
        </w:rPr>
      </w:pPr>
    </w:p>
    <w:p w:rsidR="006A4D8C" w:rsidRDefault="006A4D8C" w:rsidP="006A4D8C">
      <w:pPr>
        <w:rPr>
          <w:lang w:eastAsia="zh-CN"/>
        </w:rPr>
      </w:pPr>
    </w:p>
    <w:p w:rsidR="006A4D8C" w:rsidRDefault="006A4D8C" w:rsidP="006A4D8C">
      <w:pPr>
        <w:rPr>
          <w:lang w:eastAsia="zh-CN"/>
        </w:rPr>
      </w:pPr>
    </w:p>
    <w:p w:rsidR="006A4D8C" w:rsidRPr="006A4D8C" w:rsidRDefault="006A4D8C" w:rsidP="006A4D8C">
      <w:pPr>
        <w:rPr>
          <w:lang w:eastAsia="zh-CN"/>
        </w:rPr>
      </w:pPr>
    </w:p>
    <w:p w:rsidR="006A4D8C" w:rsidRPr="006A4D8C" w:rsidRDefault="000E60C7" w:rsidP="000E539C">
      <w:pPr>
        <w:pStyle w:val="Chap-Name"/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4D8C">
        <w:rPr>
          <w:rFonts w:ascii="Times New Roman" w:hAnsi="Times New Roman"/>
          <w:color w:val="auto"/>
          <w:sz w:val="28"/>
          <w:szCs w:val="28"/>
        </w:rPr>
        <w:t>Клинически</w:t>
      </w:r>
      <w:r w:rsidR="006A4D8C" w:rsidRPr="006A4D8C">
        <w:rPr>
          <w:rFonts w:ascii="Times New Roman" w:hAnsi="Times New Roman"/>
          <w:color w:val="auto"/>
          <w:sz w:val="28"/>
          <w:szCs w:val="28"/>
        </w:rPr>
        <w:t>е</w:t>
      </w:r>
      <w:r w:rsidRPr="006A4D8C">
        <w:rPr>
          <w:rFonts w:ascii="Times New Roman" w:hAnsi="Times New Roman"/>
          <w:color w:val="auto"/>
          <w:sz w:val="28"/>
          <w:szCs w:val="28"/>
        </w:rPr>
        <w:t xml:space="preserve"> рекомендаци</w:t>
      </w:r>
      <w:r w:rsidR="006A4D8C" w:rsidRPr="006A4D8C">
        <w:rPr>
          <w:rFonts w:ascii="Times New Roman" w:hAnsi="Times New Roman"/>
          <w:color w:val="auto"/>
          <w:sz w:val="28"/>
          <w:szCs w:val="28"/>
        </w:rPr>
        <w:t>и</w:t>
      </w:r>
      <w:r w:rsidR="000E539C" w:rsidRPr="006A4D8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A4D8C" w:rsidRDefault="006A4D8C" w:rsidP="000E539C">
      <w:pPr>
        <w:pStyle w:val="Chap-Name"/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«Д</w:t>
      </w:r>
      <w:r w:rsidR="000E60C7" w:rsidRPr="006A4D8C">
        <w:rPr>
          <w:rFonts w:ascii="Times New Roman" w:hAnsi="Times New Roman"/>
          <w:color w:val="auto"/>
          <w:sz w:val="28"/>
          <w:szCs w:val="28"/>
        </w:rPr>
        <w:t>иагностик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="000E60C7" w:rsidRPr="006A4D8C">
        <w:rPr>
          <w:rFonts w:ascii="Times New Roman" w:hAnsi="Times New Roman"/>
          <w:color w:val="auto"/>
          <w:sz w:val="28"/>
          <w:szCs w:val="28"/>
        </w:rPr>
        <w:t xml:space="preserve"> и лечени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="000E539C" w:rsidRPr="006A4D8C">
        <w:rPr>
          <w:rFonts w:ascii="Times New Roman" w:hAnsi="Times New Roman"/>
          <w:color w:val="auto"/>
          <w:sz w:val="28"/>
          <w:szCs w:val="28"/>
        </w:rPr>
        <w:t xml:space="preserve"> поражения почек</w:t>
      </w:r>
    </w:p>
    <w:p w:rsidR="000E60C7" w:rsidRPr="006A4D8C" w:rsidRDefault="000E539C" w:rsidP="000E539C">
      <w:pPr>
        <w:pStyle w:val="Chap-Name"/>
        <w:spacing w:before="0"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6A4D8C">
        <w:rPr>
          <w:rFonts w:ascii="Times New Roman" w:hAnsi="Times New Roman"/>
          <w:color w:val="auto"/>
          <w:sz w:val="28"/>
          <w:szCs w:val="28"/>
        </w:rPr>
        <w:t xml:space="preserve"> при пурпуре </w:t>
      </w:r>
      <w:proofErr w:type="spellStart"/>
      <w:r w:rsidRPr="006A4D8C">
        <w:rPr>
          <w:rFonts w:ascii="Times New Roman" w:hAnsi="Times New Roman"/>
          <w:color w:val="auto"/>
          <w:sz w:val="28"/>
          <w:szCs w:val="28"/>
        </w:rPr>
        <w:t>Шенлейна-Геноха</w:t>
      </w:r>
      <w:proofErr w:type="spellEnd"/>
      <w:r w:rsidR="006A4D8C">
        <w:rPr>
          <w:rFonts w:ascii="Times New Roman" w:hAnsi="Times New Roman"/>
          <w:color w:val="auto"/>
          <w:sz w:val="28"/>
          <w:szCs w:val="28"/>
        </w:rPr>
        <w:t>»</w:t>
      </w:r>
    </w:p>
    <w:p w:rsidR="000E60C7" w:rsidRPr="006A4D8C" w:rsidRDefault="000E60C7" w:rsidP="007F1E9E">
      <w:pPr>
        <w:rPr>
          <w:sz w:val="28"/>
          <w:szCs w:val="28"/>
          <w:lang w:eastAsia="zh-CN"/>
        </w:rPr>
      </w:pPr>
    </w:p>
    <w:p w:rsidR="000E60C7" w:rsidRDefault="000E60C7" w:rsidP="007F1E9E">
      <w:pPr>
        <w:rPr>
          <w:lang w:eastAsia="zh-CN"/>
        </w:rPr>
      </w:pPr>
    </w:p>
    <w:p w:rsidR="006A4D8C" w:rsidRDefault="006A4D8C" w:rsidP="007F1E9E">
      <w:pPr>
        <w:rPr>
          <w:lang w:eastAsia="zh-CN"/>
        </w:rPr>
      </w:pPr>
    </w:p>
    <w:p w:rsidR="006A4D8C" w:rsidRPr="00771F6E" w:rsidRDefault="006A4D8C" w:rsidP="007F1E9E">
      <w:pPr>
        <w:rPr>
          <w:lang w:eastAsia="zh-CN"/>
        </w:rPr>
      </w:pPr>
    </w:p>
    <w:p w:rsidR="006A4D8C" w:rsidRPr="006A4D8C" w:rsidRDefault="006A4D8C" w:rsidP="006A4D8C">
      <w:pPr>
        <w:spacing w:after="0" w:line="240" w:lineRule="auto"/>
        <w:jc w:val="right"/>
        <w:rPr>
          <w:rFonts w:ascii="Times New Roman" w:eastAsia="TimesNewRoman" w:hAnsi="Times New Roman"/>
          <w:b/>
          <w:sz w:val="28"/>
          <w:szCs w:val="28"/>
        </w:rPr>
      </w:pPr>
      <w:r w:rsidRPr="006A4D8C">
        <w:rPr>
          <w:rFonts w:ascii="Times New Roman" w:eastAsia="TimesNewRoman" w:hAnsi="Times New Roman"/>
          <w:b/>
          <w:sz w:val="28"/>
          <w:szCs w:val="28"/>
        </w:rPr>
        <w:t>«Утверждено»</w:t>
      </w:r>
    </w:p>
    <w:p w:rsidR="006A4D8C" w:rsidRPr="006A4D8C" w:rsidRDefault="006A4D8C" w:rsidP="006A4D8C">
      <w:pPr>
        <w:spacing w:after="0" w:line="240" w:lineRule="auto"/>
        <w:jc w:val="right"/>
        <w:rPr>
          <w:rFonts w:ascii="Times New Roman" w:eastAsia="TimesNewRoman" w:hAnsi="Times New Roman"/>
          <w:sz w:val="28"/>
          <w:szCs w:val="28"/>
        </w:rPr>
      </w:pPr>
      <w:r w:rsidRPr="006A4D8C">
        <w:rPr>
          <w:rFonts w:ascii="Times New Roman" w:eastAsia="TimesNewRoman" w:hAnsi="Times New Roman"/>
          <w:sz w:val="28"/>
          <w:szCs w:val="28"/>
        </w:rPr>
        <w:t>18 декабря 2014 г.</w:t>
      </w:r>
    </w:p>
    <w:p w:rsidR="006A4D8C" w:rsidRPr="003C7498" w:rsidRDefault="006A4D8C" w:rsidP="006A4D8C">
      <w:pPr>
        <w:jc w:val="right"/>
        <w:rPr>
          <w:rFonts w:eastAsia="TimesNewRoman"/>
          <w:sz w:val="28"/>
          <w:szCs w:val="28"/>
        </w:rPr>
      </w:pPr>
    </w:p>
    <w:p w:rsidR="006A4D8C" w:rsidRPr="003C7498" w:rsidRDefault="006A4D8C" w:rsidP="006A4D8C">
      <w:pPr>
        <w:jc w:val="right"/>
        <w:rPr>
          <w:rFonts w:eastAsia="TimesNewRoman"/>
          <w:sz w:val="28"/>
          <w:szCs w:val="28"/>
        </w:rPr>
      </w:pPr>
    </w:p>
    <w:p w:rsidR="006A4D8C" w:rsidRPr="003C7498" w:rsidRDefault="006A4D8C" w:rsidP="006A4D8C">
      <w:pPr>
        <w:jc w:val="right"/>
        <w:rPr>
          <w:rFonts w:eastAsia="TimesNewRoman"/>
          <w:sz w:val="28"/>
          <w:szCs w:val="28"/>
        </w:rPr>
      </w:pPr>
    </w:p>
    <w:p w:rsidR="006A4D8C" w:rsidRPr="003C7498" w:rsidRDefault="006A4D8C" w:rsidP="006A4D8C">
      <w:pPr>
        <w:jc w:val="right"/>
        <w:rPr>
          <w:rFonts w:eastAsia="TimesNewRoman"/>
          <w:sz w:val="28"/>
          <w:szCs w:val="28"/>
        </w:rPr>
      </w:pPr>
    </w:p>
    <w:p w:rsidR="006A4D8C" w:rsidRPr="003C7498" w:rsidRDefault="006A4D8C" w:rsidP="006A4D8C">
      <w:pPr>
        <w:jc w:val="right"/>
        <w:rPr>
          <w:rFonts w:eastAsia="TimesNewRoman"/>
          <w:sz w:val="28"/>
          <w:szCs w:val="28"/>
        </w:rPr>
      </w:pPr>
    </w:p>
    <w:p w:rsidR="006A4D8C" w:rsidRPr="003C7498" w:rsidRDefault="006A4D8C" w:rsidP="006A4D8C">
      <w:pPr>
        <w:jc w:val="right"/>
        <w:rPr>
          <w:rFonts w:eastAsia="TimesNewRoman"/>
          <w:sz w:val="28"/>
          <w:szCs w:val="28"/>
        </w:rPr>
      </w:pPr>
    </w:p>
    <w:p w:rsidR="006A4D8C" w:rsidRPr="003C7498" w:rsidRDefault="006A4D8C" w:rsidP="006A4D8C">
      <w:pPr>
        <w:jc w:val="right"/>
        <w:rPr>
          <w:rFonts w:eastAsia="TimesNewRoman"/>
          <w:sz w:val="28"/>
          <w:szCs w:val="28"/>
        </w:rPr>
      </w:pPr>
    </w:p>
    <w:p w:rsidR="006A4D8C" w:rsidRPr="006A4D8C" w:rsidRDefault="006A4D8C" w:rsidP="006A4D8C">
      <w:pPr>
        <w:jc w:val="center"/>
        <w:rPr>
          <w:rFonts w:ascii="Times New Roman" w:eastAsia="TimesNewRoman" w:hAnsi="Times New Roman"/>
          <w:sz w:val="28"/>
          <w:szCs w:val="28"/>
        </w:rPr>
      </w:pPr>
      <w:r w:rsidRPr="006A4D8C">
        <w:rPr>
          <w:rFonts w:ascii="Times New Roman" w:eastAsia="TimesNewRoman" w:hAnsi="Times New Roman"/>
          <w:sz w:val="28"/>
          <w:szCs w:val="28"/>
        </w:rPr>
        <w:t>2014 г. Москва</w:t>
      </w:r>
    </w:p>
    <w:p w:rsidR="006A4D8C" w:rsidRDefault="006A4D8C" w:rsidP="006A4D8C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0E60C7" w:rsidRPr="00771F6E" w:rsidRDefault="000E60C7" w:rsidP="007F1E9E">
      <w:pPr>
        <w:spacing w:after="0"/>
        <w:rPr>
          <w:rFonts w:ascii="Times New Roman" w:hAnsi="Times New Roman"/>
          <w:sz w:val="28"/>
          <w:szCs w:val="28"/>
          <w:lang w:eastAsia="zh-CN"/>
        </w:rPr>
      </w:pPr>
    </w:p>
    <w:p w:rsidR="000E60C7" w:rsidRPr="00771F6E" w:rsidRDefault="000E60C7" w:rsidP="007F1E9E">
      <w:pPr>
        <w:rPr>
          <w:rFonts w:ascii="Times New Roman" w:hAnsi="Times New Roman"/>
          <w:b/>
          <w:bCs/>
          <w:sz w:val="26"/>
          <w:szCs w:val="26"/>
        </w:rPr>
      </w:pPr>
      <w:r w:rsidRPr="00771F6E">
        <w:rPr>
          <w:rFonts w:ascii="Times New Roman" w:hAnsi="Times New Roman"/>
          <w:b/>
          <w:bCs/>
          <w:sz w:val="26"/>
          <w:szCs w:val="26"/>
        </w:rPr>
        <w:t xml:space="preserve">Рабочая группа </w:t>
      </w:r>
    </w:p>
    <w:tbl>
      <w:tblPr>
        <w:tblW w:w="0" w:type="auto"/>
        <w:tblLook w:val="00A0"/>
      </w:tblPr>
      <w:tblGrid>
        <w:gridCol w:w="1928"/>
        <w:gridCol w:w="7643"/>
      </w:tblGrid>
      <w:tr w:rsidR="000E539C" w:rsidRPr="00771F6E" w:rsidTr="00F418FA">
        <w:tc>
          <w:tcPr>
            <w:tcW w:w="1928" w:type="dxa"/>
          </w:tcPr>
          <w:p w:rsidR="000E539C" w:rsidRPr="00771F6E" w:rsidRDefault="000E539C" w:rsidP="00F4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Шилов Е.М.</w:t>
            </w:r>
          </w:p>
        </w:tc>
        <w:tc>
          <w:tcPr>
            <w:tcW w:w="7643" w:type="dxa"/>
          </w:tcPr>
          <w:p w:rsidR="000E539C" w:rsidRPr="00771F6E" w:rsidRDefault="000E539C" w:rsidP="00F41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Зав. кафедрой нефрологии и гемодиализа ИПО ГБОУ ВПО</w:t>
            </w:r>
            <w:proofErr w:type="gramStart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71F6E">
              <w:rPr>
                <w:rFonts w:ascii="Times New Roman" w:hAnsi="Times New Roman"/>
                <w:sz w:val="24"/>
                <w:szCs w:val="24"/>
              </w:rPr>
              <w:t>ервый Московский медицинский университет им. И.М. Сеченова Министерства здравоохранения РФ, вице-президент НОНР, главный нефролог РФ, д.м.н., профессор</w:t>
            </w:r>
          </w:p>
        </w:tc>
      </w:tr>
      <w:tr w:rsidR="000E539C" w:rsidRPr="00771F6E" w:rsidTr="00F418FA">
        <w:tc>
          <w:tcPr>
            <w:tcW w:w="1928" w:type="dxa"/>
          </w:tcPr>
          <w:p w:rsidR="000E539C" w:rsidRPr="00771F6E" w:rsidRDefault="000E539C" w:rsidP="00F4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Бобкова И.Н.</w:t>
            </w:r>
          </w:p>
        </w:tc>
        <w:tc>
          <w:tcPr>
            <w:tcW w:w="7643" w:type="dxa"/>
          </w:tcPr>
          <w:p w:rsidR="000E539C" w:rsidRPr="00771F6E" w:rsidRDefault="000E539C" w:rsidP="00F41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Зав. отделом нефрологии НИЦ, профессор кафедры нефрологии и гемодиализа ИПО ГБОУ ВПО</w:t>
            </w:r>
            <w:proofErr w:type="gramStart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71F6E">
              <w:rPr>
                <w:rFonts w:ascii="Times New Roman" w:hAnsi="Times New Roman"/>
                <w:sz w:val="24"/>
                <w:szCs w:val="24"/>
              </w:rPr>
              <w:t>ервый Московский медицинский университет им. И.М. Сеченова Министерства здравоохранения РФ, ответственный секретарь НОНР, д.м.н.</w:t>
            </w:r>
          </w:p>
        </w:tc>
      </w:tr>
      <w:tr w:rsidR="000E539C" w:rsidRPr="00771F6E" w:rsidTr="00F418FA">
        <w:tc>
          <w:tcPr>
            <w:tcW w:w="1928" w:type="dxa"/>
          </w:tcPr>
          <w:p w:rsidR="000E539C" w:rsidRPr="00771F6E" w:rsidRDefault="000E539C" w:rsidP="00F4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Камышова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643" w:type="dxa"/>
          </w:tcPr>
          <w:p w:rsidR="000E539C" w:rsidRPr="00771F6E" w:rsidRDefault="000E539C" w:rsidP="00F41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Старший научный сотрудник отдела нефрологии НИЦ ГБОУ ВПО</w:t>
            </w:r>
            <w:proofErr w:type="gramStart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71F6E">
              <w:rPr>
                <w:rFonts w:ascii="Times New Roman" w:hAnsi="Times New Roman"/>
                <w:sz w:val="24"/>
                <w:szCs w:val="24"/>
              </w:rPr>
              <w:t>ервый Московский медицинский университет им. И.М. Сеченова Министерства здравоохранения РФ, к.м.н.</w:t>
            </w:r>
          </w:p>
        </w:tc>
      </w:tr>
      <w:tr w:rsidR="000E539C" w:rsidRPr="00771F6E" w:rsidTr="00F418FA">
        <w:tc>
          <w:tcPr>
            <w:tcW w:w="1928" w:type="dxa"/>
          </w:tcPr>
          <w:p w:rsidR="000E539C" w:rsidRPr="00771F6E" w:rsidRDefault="000E539C" w:rsidP="00F4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Колина И.Б.</w:t>
            </w:r>
          </w:p>
        </w:tc>
        <w:tc>
          <w:tcPr>
            <w:tcW w:w="7643" w:type="dxa"/>
          </w:tcPr>
          <w:p w:rsidR="000E539C" w:rsidRPr="00771F6E" w:rsidRDefault="000E539C" w:rsidP="00F41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Старший научный сотрудник отдела нефрологии НИЦ ГБОУ ВПО</w:t>
            </w:r>
            <w:proofErr w:type="gramStart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71F6E">
              <w:rPr>
                <w:rFonts w:ascii="Times New Roman" w:hAnsi="Times New Roman"/>
                <w:sz w:val="24"/>
                <w:szCs w:val="24"/>
              </w:rPr>
              <w:t>ервый Московский медицинский университет им. И.М. Сеченова Министерства здравоохранения РФ, к.м.н.</w:t>
            </w:r>
          </w:p>
        </w:tc>
      </w:tr>
    </w:tbl>
    <w:p w:rsidR="000E60C7" w:rsidRDefault="000E60C7" w:rsidP="007F1E9E">
      <w:pPr>
        <w:rPr>
          <w:rFonts w:ascii="Times New Roman" w:hAnsi="Times New Roman"/>
        </w:rPr>
      </w:pPr>
    </w:p>
    <w:p w:rsidR="006A4D8C" w:rsidRDefault="006A4D8C" w:rsidP="007F1E9E">
      <w:pPr>
        <w:rPr>
          <w:rFonts w:ascii="Times New Roman" w:hAnsi="Times New Roman"/>
        </w:rPr>
      </w:pPr>
    </w:p>
    <w:p w:rsidR="006A4D8C" w:rsidRDefault="006A4D8C" w:rsidP="007F1E9E">
      <w:pPr>
        <w:rPr>
          <w:rFonts w:ascii="Times New Roman" w:hAnsi="Times New Roman"/>
        </w:rPr>
      </w:pPr>
    </w:p>
    <w:p w:rsidR="006A4D8C" w:rsidRDefault="006A4D8C" w:rsidP="007F1E9E">
      <w:pPr>
        <w:rPr>
          <w:rFonts w:ascii="Times New Roman" w:hAnsi="Times New Roman"/>
        </w:rPr>
      </w:pPr>
    </w:p>
    <w:p w:rsidR="006A4D8C" w:rsidRDefault="006A4D8C" w:rsidP="007F1E9E">
      <w:pPr>
        <w:rPr>
          <w:rFonts w:ascii="Times New Roman" w:hAnsi="Times New Roman"/>
        </w:rPr>
      </w:pPr>
    </w:p>
    <w:p w:rsidR="006A4D8C" w:rsidRDefault="006A4D8C" w:rsidP="007F1E9E">
      <w:pPr>
        <w:rPr>
          <w:rFonts w:ascii="Times New Roman" w:hAnsi="Times New Roman"/>
        </w:rPr>
      </w:pPr>
    </w:p>
    <w:p w:rsidR="006A4D8C" w:rsidRDefault="006A4D8C" w:rsidP="007F1E9E">
      <w:pPr>
        <w:rPr>
          <w:rFonts w:ascii="Times New Roman" w:hAnsi="Times New Roman"/>
        </w:rPr>
      </w:pPr>
    </w:p>
    <w:p w:rsidR="006A4D8C" w:rsidRPr="006A4D8C" w:rsidRDefault="006A4D8C" w:rsidP="007F1E9E">
      <w:pPr>
        <w:rPr>
          <w:rFonts w:ascii="Times New Roman" w:hAnsi="Times New Roman"/>
        </w:rPr>
      </w:pPr>
    </w:p>
    <w:p w:rsidR="00890B17" w:rsidRPr="00771F6E" w:rsidRDefault="00890B17" w:rsidP="00890B17">
      <w:pPr>
        <w:jc w:val="center"/>
        <w:rPr>
          <w:rFonts w:ascii="Times New Roman" w:hAnsi="Times New Roman"/>
        </w:rPr>
      </w:pPr>
    </w:p>
    <w:p w:rsidR="000E60C7" w:rsidRPr="00771F6E" w:rsidRDefault="006A4D8C" w:rsidP="00A65C84">
      <w:pPr>
        <w:rPr>
          <w:rFonts w:ascii="Times New Roman" w:hAnsi="Times New Roman"/>
          <w:b/>
          <w:bCs/>
          <w:caps/>
          <w:sz w:val="24"/>
          <w:szCs w:val="24"/>
        </w:rPr>
      </w:pPr>
      <w:r w:rsidRPr="006A4D8C">
        <w:rPr>
          <w:rFonts w:ascii="Times New Roman" w:hAnsi="Times New Roman"/>
          <w:sz w:val="28"/>
          <w:szCs w:val="28"/>
        </w:rPr>
        <w:t>Срок пересмотра рекомендаций:     2019  г.</w:t>
      </w:r>
      <w:r w:rsidR="000E60C7" w:rsidRPr="00771F6E">
        <w:rPr>
          <w:rFonts w:ascii="Times New Roman" w:hAnsi="Times New Roman"/>
        </w:rPr>
        <w:br w:type="page"/>
      </w:r>
      <w:r w:rsidR="00150A2C" w:rsidRPr="00771F6E">
        <w:rPr>
          <w:rFonts w:ascii="Times New Roman" w:hAnsi="Times New Roman"/>
        </w:rPr>
        <w:lastRenderedPageBreak/>
        <w:t xml:space="preserve"> </w:t>
      </w:r>
      <w:r w:rsidR="000E60C7" w:rsidRPr="00771F6E">
        <w:rPr>
          <w:rFonts w:ascii="Times New Roman" w:hAnsi="Times New Roman"/>
          <w:b/>
          <w:bCs/>
          <w:caps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474"/>
        <w:gridCol w:w="7786"/>
        <w:gridCol w:w="701"/>
      </w:tblGrid>
      <w:tr w:rsidR="00042DF7" w:rsidRPr="00771F6E" w:rsidTr="00C75E44">
        <w:tc>
          <w:tcPr>
            <w:tcW w:w="8707" w:type="dxa"/>
            <w:gridSpan w:val="3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042DF7" w:rsidRPr="00771F6E" w:rsidTr="00C75E44">
        <w:tc>
          <w:tcPr>
            <w:tcW w:w="921" w:type="dxa"/>
            <w:gridSpan w:val="2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7786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701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2DF7" w:rsidRPr="00771F6E" w:rsidTr="00C75E44">
        <w:tc>
          <w:tcPr>
            <w:tcW w:w="921" w:type="dxa"/>
            <w:gridSpan w:val="2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7786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СИЛЫ РЕКОМЕНДАЦИЙ И КАЧЕСТВА ИХ ДОКАЗАТЕЛЬНОСТИ</w:t>
            </w:r>
          </w:p>
        </w:tc>
        <w:tc>
          <w:tcPr>
            <w:tcW w:w="701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42DF7" w:rsidRPr="00771F6E" w:rsidTr="00C75E44">
        <w:tc>
          <w:tcPr>
            <w:tcW w:w="921" w:type="dxa"/>
            <w:gridSpan w:val="2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7786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СОКРАЩЕНИЙ</w:t>
            </w:r>
          </w:p>
        </w:tc>
        <w:tc>
          <w:tcPr>
            <w:tcW w:w="701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42DF7" w:rsidRPr="00771F6E" w:rsidTr="00C75E44"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7786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КОДИРОВАНИЕ </w:t>
            </w:r>
            <w:r w:rsidR="003B03DB"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ГН-ПШГ </w:t>
            </w: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ПО МЕЖДУНАРОДНОЙ КЛАССИФИКАЦИИ БОЛЕЗНЕЙ 10</w:t>
            </w: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noBreakHyphen/>
              <w:t>ПЕРЕСМОТРА (МКБ-10)</w:t>
            </w:r>
          </w:p>
        </w:tc>
        <w:tc>
          <w:tcPr>
            <w:tcW w:w="701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42DF7" w:rsidRPr="00771F6E" w:rsidTr="00C75E4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86" w:type="dxa"/>
            <w:tcBorders>
              <w:left w:val="single" w:sz="4" w:space="0" w:color="auto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701" w:type="dxa"/>
          </w:tcPr>
          <w:p w:rsidR="00042DF7" w:rsidRPr="00771F6E" w:rsidRDefault="003B03DB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42DF7" w:rsidRPr="00771F6E" w:rsidTr="00C75E4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86" w:type="dxa"/>
            <w:tcBorders>
              <w:left w:val="single" w:sz="4" w:space="0" w:color="auto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ДИАГНОСТИКА </w:t>
            </w:r>
            <w:r w:rsidR="003B03DB"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И ДИФФЕРЕНЦИАЛЬНЫЙ ДИАГНОЗ</w:t>
            </w:r>
          </w:p>
        </w:tc>
        <w:tc>
          <w:tcPr>
            <w:tcW w:w="701" w:type="dxa"/>
          </w:tcPr>
          <w:p w:rsidR="00042DF7" w:rsidRPr="00771F6E" w:rsidRDefault="003B03DB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42DF7" w:rsidRPr="00771F6E" w:rsidTr="00C75E4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86" w:type="dxa"/>
            <w:tcBorders>
              <w:left w:val="single" w:sz="4" w:space="0" w:color="auto"/>
            </w:tcBorders>
          </w:tcPr>
          <w:p w:rsidR="00042DF7" w:rsidRPr="00771F6E" w:rsidRDefault="003B03DB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ЛЕЧЕНИЕ</w:t>
            </w:r>
          </w:p>
        </w:tc>
        <w:tc>
          <w:tcPr>
            <w:tcW w:w="701" w:type="dxa"/>
          </w:tcPr>
          <w:p w:rsidR="00042DF7" w:rsidRPr="00771F6E" w:rsidRDefault="00F6483D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42DF7" w:rsidRPr="00771F6E" w:rsidTr="00C75E4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86" w:type="dxa"/>
            <w:tcBorders>
              <w:left w:val="single" w:sz="4" w:space="0" w:color="auto"/>
            </w:tcBorders>
          </w:tcPr>
          <w:p w:rsidR="00042DF7" w:rsidRPr="00771F6E" w:rsidRDefault="003B03DB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701" w:type="dxa"/>
          </w:tcPr>
          <w:p w:rsidR="00042DF7" w:rsidRPr="00771F6E" w:rsidRDefault="00042DF7" w:rsidP="003B03D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B03DB"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2DF7" w:rsidRPr="00771F6E" w:rsidTr="00C75E44">
        <w:tc>
          <w:tcPr>
            <w:tcW w:w="921" w:type="dxa"/>
            <w:gridSpan w:val="2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6" w:type="dxa"/>
          </w:tcPr>
          <w:p w:rsidR="00042DF7" w:rsidRPr="00771F6E" w:rsidRDefault="00042DF7" w:rsidP="00C75E44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701" w:type="dxa"/>
          </w:tcPr>
          <w:p w:rsidR="00042DF7" w:rsidRPr="00771F6E" w:rsidRDefault="00042DF7" w:rsidP="003B03D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B03DB" w:rsidRPr="00771F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371C53" w:rsidRPr="00771F6E" w:rsidRDefault="00371C53" w:rsidP="007F1E9E">
      <w:pPr>
        <w:rPr>
          <w:rFonts w:ascii="Times New Roman" w:hAnsi="Times New Roman"/>
        </w:rPr>
      </w:pPr>
    </w:p>
    <w:p w:rsidR="00150A2C" w:rsidRPr="00771F6E" w:rsidRDefault="00150A2C" w:rsidP="00150A2C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0E60C7" w:rsidRPr="00771F6E" w:rsidRDefault="000E60C7" w:rsidP="007F1E9E">
      <w:pPr>
        <w:rPr>
          <w:rFonts w:ascii="Times New Roman" w:hAnsi="Times New Roman"/>
        </w:rPr>
      </w:pPr>
    </w:p>
    <w:p w:rsidR="00150A2C" w:rsidRPr="00771F6E" w:rsidRDefault="00150A2C" w:rsidP="00150A2C">
      <w:pPr>
        <w:rPr>
          <w:rFonts w:ascii="Times New Roman" w:hAnsi="Times New Roman"/>
          <w:b/>
          <w:bCs/>
          <w:caps/>
          <w:sz w:val="28"/>
          <w:szCs w:val="28"/>
        </w:rPr>
      </w:pPr>
      <w:r w:rsidRPr="00771F6E">
        <w:rPr>
          <w:rFonts w:ascii="Times New Roman" w:hAnsi="Times New Roman"/>
          <w:b/>
          <w:bCs/>
          <w:caps/>
          <w:sz w:val="28"/>
          <w:szCs w:val="28"/>
        </w:rPr>
        <w:br w:type="page"/>
      </w:r>
      <w:r w:rsidR="00042DF7" w:rsidRPr="00771F6E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А. </w:t>
      </w:r>
      <w:r w:rsidRPr="00771F6E">
        <w:rPr>
          <w:rFonts w:ascii="Times New Roman" w:hAnsi="Times New Roman"/>
          <w:b/>
          <w:bCs/>
          <w:caps/>
          <w:sz w:val="28"/>
          <w:szCs w:val="28"/>
        </w:rPr>
        <w:t xml:space="preserve">Аннотация </w:t>
      </w:r>
    </w:p>
    <w:p w:rsidR="00150A2C" w:rsidRPr="00771F6E" w:rsidRDefault="00150A2C" w:rsidP="001D74E6">
      <w:pPr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 xml:space="preserve">Представленные рекомендации обобщают принятые в мире подходы к диагностике и лечению </w:t>
      </w:r>
      <w:r w:rsidR="006417C9" w:rsidRPr="00771F6E">
        <w:rPr>
          <w:rFonts w:ascii="Times New Roman" w:hAnsi="Times New Roman"/>
          <w:sz w:val="24"/>
          <w:szCs w:val="24"/>
        </w:rPr>
        <w:t xml:space="preserve">поражения почек при пурпуре </w:t>
      </w:r>
      <w:proofErr w:type="spellStart"/>
      <w:r w:rsidR="006417C9" w:rsidRPr="00771F6E">
        <w:rPr>
          <w:rFonts w:ascii="Times New Roman" w:hAnsi="Times New Roman"/>
          <w:sz w:val="24"/>
          <w:szCs w:val="24"/>
        </w:rPr>
        <w:t>Шенлейна-Геноха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. Они </w:t>
      </w:r>
      <w:proofErr w:type="gramStart"/>
      <w:r w:rsidRPr="00771F6E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771F6E">
        <w:rPr>
          <w:rFonts w:ascii="Times New Roman" w:hAnsi="Times New Roman"/>
          <w:sz w:val="24"/>
          <w:szCs w:val="24"/>
        </w:rPr>
        <w:t xml:space="preserve">оставлены в соответствии с современными международными [1] и отечественными [2,3] рекомендациями по лечению </w:t>
      </w:r>
      <w:proofErr w:type="spellStart"/>
      <w:r w:rsidRPr="00771F6E">
        <w:rPr>
          <w:rFonts w:ascii="Times New Roman" w:hAnsi="Times New Roman"/>
          <w:sz w:val="24"/>
          <w:szCs w:val="24"/>
        </w:rPr>
        <w:t>гломерулонефритов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, основанными на результатах систематических обзоров и </w:t>
      </w:r>
      <w:proofErr w:type="spellStart"/>
      <w:r w:rsidRPr="00771F6E">
        <w:rPr>
          <w:rFonts w:ascii="Times New Roman" w:hAnsi="Times New Roman"/>
          <w:sz w:val="24"/>
          <w:szCs w:val="24"/>
        </w:rPr>
        <w:t>мета-анализов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 релевантных клинических исследований, а также накопленном на сегодняшний отечественном опыте адаптации международных рекомендаций к условиям Российского здравоохранения. </w:t>
      </w:r>
    </w:p>
    <w:p w:rsidR="000E60C7" w:rsidRPr="00771F6E" w:rsidRDefault="00150A2C" w:rsidP="001D74E6">
      <w:pPr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>Данные Рекомендации не следует рассматривать в качестве стандарта оказания медицинской помощи, поскольку в существующей клинической практике объем диагностики и лечения определяется индивидуальными особенностями пациентов, доступностью различных лекарственных средств и особенностями/спецификой конкретного лечебного учреждения. За уместность применения данных Рекомендаций в конкретной ситуации несет ответственность использующий их врач.</w:t>
      </w:r>
    </w:p>
    <w:p w:rsidR="00150A2C" w:rsidRPr="00771F6E" w:rsidRDefault="00150A2C" w:rsidP="00150A2C">
      <w:pPr>
        <w:rPr>
          <w:rFonts w:ascii="Times New Roman" w:hAnsi="Times New Roman"/>
          <w:sz w:val="24"/>
          <w:szCs w:val="24"/>
        </w:rPr>
      </w:pPr>
    </w:p>
    <w:p w:rsidR="00150A2C" w:rsidRPr="00771F6E" w:rsidRDefault="00150A2C" w:rsidP="00150A2C">
      <w:pPr>
        <w:jc w:val="both"/>
        <w:rPr>
          <w:rFonts w:ascii="Times New Roman" w:hAnsi="Times New Roman"/>
          <w:b/>
          <w:caps/>
          <w:sz w:val="28"/>
          <w:szCs w:val="28"/>
        </w:rPr>
      </w:pPr>
      <w:r w:rsidRPr="00771F6E">
        <w:rPr>
          <w:rFonts w:ascii="Times New Roman" w:hAnsi="Times New Roman"/>
          <w:b/>
          <w:caps/>
          <w:sz w:val="28"/>
          <w:szCs w:val="28"/>
        </w:rPr>
        <w:br w:type="page"/>
      </w:r>
      <w:r w:rsidR="00042DF7" w:rsidRPr="00771F6E">
        <w:rPr>
          <w:rFonts w:ascii="Times New Roman" w:hAnsi="Times New Roman"/>
          <w:b/>
          <w:caps/>
          <w:sz w:val="28"/>
          <w:szCs w:val="28"/>
        </w:rPr>
        <w:lastRenderedPageBreak/>
        <w:t xml:space="preserve">Б. </w:t>
      </w:r>
      <w:r w:rsidRPr="00771F6E">
        <w:rPr>
          <w:rFonts w:ascii="Times New Roman" w:hAnsi="Times New Roman"/>
          <w:b/>
          <w:caps/>
          <w:sz w:val="28"/>
          <w:szCs w:val="28"/>
        </w:rPr>
        <w:t>Оценка силы рекомендаций и уровня их доказательности</w:t>
      </w:r>
    </w:p>
    <w:p w:rsidR="00150A2C" w:rsidRPr="00771F6E" w:rsidRDefault="00150A2C" w:rsidP="00150A2C">
      <w:pPr>
        <w:pStyle w:val="1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kern w:val="3"/>
          <w:sz w:val="24"/>
          <w:szCs w:val="20"/>
        </w:rPr>
      </w:pPr>
      <w:r w:rsidRPr="00771F6E">
        <w:rPr>
          <w:rFonts w:ascii="Times New Roman" w:hAnsi="Times New Roman"/>
          <w:kern w:val="3"/>
          <w:sz w:val="24"/>
          <w:szCs w:val="20"/>
        </w:rPr>
        <w:t>Для рекомендаций сила указана как уровень 1, 2 или «нет степени» (табл.1), качество доказательной базы обозначено как</w:t>
      </w:r>
      <w:proofErr w:type="gramStart"/>
      <w:r w:rsidRPr="00771F6E">
        <w:rPr>
          <w:rFonts w:ascii="Times New Roman" w:hAnsi="Times New Roman"/>
          <w:kern w:val="3"/>
          <w:sz w:val="24"/>
          <w:szCs w:val="20"/>
        </w:rPr>
        <w:t xml:space="preserve"> А</w:t>
      </w:r>
      <w:proofErr w:type="gramEnd"/>
      <w:r w:rsidRPr="00771F6E">
        <w:rPr>
          <w:rFonts w:ascii="Times New Roman" w:hAnsi="Times New Roman"/>
          <w:kern w:val="3"/>
          <w:sz w:val="24"/>
          <w:szCs w:val="20"/>
        </w:rPr>
        <w:t>, В, С (табл.2).</w:t>
      </w:r>
    </w:p>
    <w:p w:rsidR="00150A2C" w:rsidRPr="00771F6E" w:rsidRDefault="00150A2C" w:rsidP="00150A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0"/>
        </w:rPr>
      </w:pPr>
    </w:p>
    <w:p w:rsidR="00150A2C" w:rsidRPr="00771F6E" w:rsidRDefault="00150A2C" w:rsidP="00150A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4"/>
          <w:szCs w:val="20"/>
        </w:rPr>
      </w:pPr>
      <w:r w:rsidRPr="00771F6E">
        <w:rPr>
          <w:rFonts w:ascii="Times New Roman" w:hAnsi="Times New Roman"/>
          <w:kern w:val="3"/>
          <w:sz w:val="24"/>
          <w:szCs w:val="20"/>
        </w:rPr>
        <w:t>Таблица 1</w:t>
      </w:r>
      <w:r w:rsidRPr="00771F6E">
        <w:rPr>
          <w:rFonts w:ascii="Times New Roman" w:hAnsi="Times New Roman"/>
          <w:b/>
          <w:kern w:val="3"/>
          <w:sz w:val="24"/>
          <w:szCs w:val="20"/>
        </w:rPr>
        <w:t xml:space="preserve">. </w:t>
      </w:r>
      <w:r w:rsidRPr="00771F6E">
        <w:rPr>
          <w:rFonts w:ascii="Times New Roman" w:hAnsi="Times New Roman"/>
          <w:b/>
          <w:bCs/>
          <w:i/>
          <w:iCs/>
          <w:kern w:val="3"/>
          <w:sz w:val="24"/>
          <w:szCs w:val="20"/>
        </w:rPr>
        <w:t>Оценка силы рекомендаций</w:t>
      </w:r>
    </w:p>
    <w:p w:rsidR="00150A2C" w:rsidRPr="00771F6E" w:rsidRDefault="00150A2C" w:rsidP="00150A2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0"/>
        </w:rPr>
      </w:pPr>
      <w:r w:rsidRPr="00771F6E">
        <w:rPr>
          <w:rFonts w:ascii="Times New Roman" w:hAnsi="Times New Roman"/>
          <w:kern w:val="3"/>
          <w:sz w:val="24"/>
          <w:szCs w:val="20"/>
        </w:rPr>
        <w:t>(</w:t>
      </w:r>
      <w:proofErr w:type="gramStart"/>
      <w:r w:rsidRPr="00771F6E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771F6E">
        <w:rPr>
          <w:rFonts w:ascii="Times New Roman" w:hAnsi="Times New Roman"/>
          <w:sz w:val="24"/>
          <w:szCs w:val="24"/>
        </w:rPr>
        <w:t xml:space="preserve"> в соответствии с клиническими рекомендациями </w:t>
      </w:r>
      <w:r w:rsidRPr="00771F6E">
        <w:rPr>
          <w:rFonts w:ascii="Times New Roman" w:hAnsi="Times New Roman"/>
          <w:sz w:val="24"/>
          <w:szCs w:val="24"/>
          <w:lang w:val="en-US"/>
        </w:rPr>
        <w:t>KDIGO</w:t>
      </w:r>
      <w:r w:rsidRPr="00771F6E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2587"/>
        <w:gridCol w:w="2516"/>
        <w:gridCol w:w="2659"/>
      </w:tblGrid>
      <w:tr w:rsidR="00150A2C" w:rsidRPr="00771F6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Оценка рекомендаций</w:t>
            </w:r>
          </w:p>
        </w:tc>
      </w:tr>
      <w:tr w:rsidR="00150A2C" w:rsidRPr="00771F6E">
        <w:trPr>
          <w:trHeight w:val="93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Со стороны пациентов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Со стороны врача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Дальнейшее направление использования</w:t>
            </w:r>
          </w:p>
        </w:tc>
      </w:tr>
      <w:tr w:rsidR="00150A2C" w:rsidRPr="00771F6E">
        <w:trPr>
          <w:trHeight w:val="2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Уровень 1 «Эксперты рекомендуют»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F6E">
              <w:rPr>
                <w:rFonts w:ascii="Times New Roman" w:hAnsi="Times New Roman"/>
              </w:rPr>
              <w:t xml:space="preserve">Подавляющее большинство пациентов, оказавшихся в подобной ситуации, предпочли бы следовать рекомендуемым </w:t>
            </w:r>
            <w:proofErr w:type="gramStart"/>
            <w:r w:rsidRPr="00771F6E">
              <w:rPr>
                <w:rFonts w:ascii="Times New Roman" w:hAnsi="Times New Roman"/>
              </w:rPr>
              <w:t>путем</w:t>
            </w:r>
            <w:proofErr w:type="gramEnd"/>
            <w:r w:rsidRPr="00771F6E">
              <w:rPr>
                <w:rFonts w:ascii="Times New Roman" w:hAnsi="Times New Roman"/>
              </w:rPr>
              <w:t xml:space="preserve"> и лишь небольшая часть из них отвергли бы этот путь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F6E">
              <w:rPr>
                <w:rFonts w:ascii="Times New Roman" w:hAnsi="Times New Roman"/>
              </w:rPr>
              <w:t>Подавляющему большинству своих пациентов врач будет рекомендовать следовать именно этим путем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F6E">
              <w:rPr>
                <w:rFonts w:ascii="Times New Roman" w:hAnsi="Times New Roman"/>
              </w:rPr>
              <w:t>Рекомендация может быть принята в качестве стандарта действия медицинского персонала в большинстве клинических ситуаций</w:t>
            </w:r>
          </w:p>
        </w:tc>
      </w:tr>
      <w:tr w:rsidR="00150A2C" w:rsidRPr="00771F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Уровень 2</w:t>
            </w:r>
          </w:p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«Эксперты полагают»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F6E">
              <w:rPr>
                <w:rFonts w:ascii="Times New Roman" w:hAnsi="Times New Roman"/>
              </w:rPr>
              <w:t>Большая часть пациентов, оказавшихся в подобной ситуации, высказались бы за то, чтобы следовать рекомендуемым путем, однако значительная часть отвергла бы этот путь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F6E">
              <w:rPr>
                <w:rFonts w:ascii="Times New Roman" w:hAnsi="Times New Roman"/>
              </w:rPr>
              <w:t>Для разных пациентов следует подбирать различные варианты рекомендаций, подходящие именно им. Каждому пациенту необходима помощь в выборе и принятии решения, которое будет соответствовать ценностям и предпочтениям данного пациента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F6E">
              <w:rPr>
                <w:rFonts w:ascii="Times New Roman" w:hAnsi="Times New Roman"/>
              </w:rPr>
              <w:t>Рекомендации, вероятно, потребуют обсуждения с участием всех заинтересованных сторон до принятия их в качестве клинического стандарта</w:t>
            </w:r>
          </w:p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0A2C" w:rsidRPr="00771F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«Нет градации»</w:t>
            </w:r>
          </w:p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1F6E">
              <w:rPr>
                <w:rFonts w:ascii="Times New Roman" w:hAnsi="Times New Roman"/>
                <w:b/>
              </w:rPr>
              <w:t>(НГ)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C" w:rsidRPr="00771F6E" w:rsidRDefault="00150A2C" w:rsidP="008C32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F6E">
              <w:rPr>
                <w:rFonts w:ascii="Times New Roman" w:hAnsi="Times New Roman"/>
              </w:rPr>
              <w:t>Данный уровень применяется в тех случаях, когда в основу рекомендации укладывается здравый смысл исследователя-эксперта или тогда, когда обсуждаемая тема не допускает адекватного применения системы доказательств, используемых в клинической практике.</w:t>
            </w:r>
          </w:p>
        </w:tc>
      </w:tr>
    </w:tbl>
    <w:p w:rsidR="00150A2C" w:rsidRPr="00771F6E" w:rsidRDefault="00150A2C" w:rsidP="00150A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0"/>
        </w:rPr>
      </w:pPr>
    </w:p>
    <w:p w:rsidR="001F5A80" w:rsidRPr="00771F6E" w:rsidRDefault="001F5A80" w:rsidP="001F5A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kern w:val="3"/>
          <w:sz w:val="24"/>
          <w:szCs w:val="20"/>
        </w:rPr>
        <w:t>Таблица 2.</w:t>
      </w:r>
      <w:r w:rsidRPr="00771F6E">
        <w:rPr>
          <w:rFonts w:ascii="Times New Roman" w:hAnsi="Times New Roman"/>
          <w:b/>
          <w:kern w:val="3"/>
          <w:sz w:val="24"/>
          <w:szCs w:val="20"/>
        </w:rPr>
        <w:t xml:space="preserve"> </w:t>
      </w:r>
      <w:r w:rsidRPr="00771F6E">
        <w:rPr>
          <w:rFonts w:ascii="Times New Roman" w:hAnsi="Times New Roman"/>
          <w:b/>
          <w:bCs/>
          <w:i/>
          <w:iCs/>
          <w:kern w:val="3"/>
          <w:sz w:val="24"/>
          <w:szCs w:val="20"/>
        </w:rPr>
        <w:t>Оценка качества доказательной базы</w:t>
      </w:r>
      <w:r w:rsidRPr="00771F6E">
        <w:rPr>
          <w:rFonts w:ascii="Times New Roman" w:hAnsi="Times New Roman"/>
          <w:sz w:val="24"/>
          <w:szCs w:val="24"/>
        </w:rPr>
        <w:t xml:space="preserve"> </w:t>
      </w:r>
    </w:p>
    <w:p w:rsidR="001F5A80" w:rsidRPr="00771F6E" w:rsidRDefault="001F5A80" w:rsidP="001F5A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0"/>
        </w:rPr>
      </w:pPr>
      <w:r w:rsidRPr="00771F6E">
        <w:rPr>
          <w:rFonts w:ascii="Times New Roman" w:hAnsi="Times New Roman"/>
          <w:sz w:val="24"/>
          <w:szCs w:val="24"/>
        </w:rPr>
        <w:t>(</w:t>
      </w:r>
      <w:proofErr w:type="gramStart"/>
      <w:r w:rsidRPr="00771F6E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771F6E">
        <w:rPr>
          <w:rFonts w:ascii="Times New Roman" w:hAnsi="Times New Roman"/>
          <w:sz w:val="24"/>
          <w:szCs w:val="24"/>
        </w:rPr>
        <w:t xml:space="preserve"> в соответствии с клиническими рекомендациями </w:t>
      </w:r>
      <w:r w:rsidRPr="00771F6E">
        <w:rPr>
          <w:rFonts w:ascii="Times New Roman" w:hAnsi="Times New Roman"/>
          <w:sz w:val="24"/>
          <w:szCs w:val="24"/>
          <w:lang w:val="en-US"/>
        </w:rPr>
        <w:t>KDIGO</w:t>
      </w:r>
      <w:r w:rsidRPr="00771F6E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0A0"/>
      </w:tblPr>
      <w:tblGrid>
        <w:gridCol w:w="2376"/>
        <w:gridCol w:w="7195"/>
      </w:tblGrid>
      <w:tr w:rsidR="001F5A80" w:rsidRPr="00771F6E" w:rsidTr="00F418FA">
        <w:trPr>
          <w:trHeight w:val="3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F5A80" w:rsidRPr="00771F6E" w:rsidRDefault="001F5A80" w:rsidP="00F418FA">
            <w:pPr>
              <w:spacing w:after="0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b/>
                <w:kern w:val="3"/>
              </w:rPr>
              <w:t>Качество доказательной базы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F5A80" w:rsidRPr="00771F6E" w:rsidRDefault="001F5A80" w:rsidP="00F418FA">
            <w:pPr>
              <w:spacing w:after="0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b/>
                <w:kern w:val="3"/>
              </w:rPr>
              <w:t>Значение</w:t>
            </w:r>
          </w:p>
        </w:tc>
      </w:tr>
      <w:tr w:rsidR="001F5A80" w:rsidRPr="00771F6E" w:rsidTr="00F418FA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b/>
                <w:kern w:val="3"/>
              </w:rPr>
              <w:t>А – высокое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kern w:val="3"/>
              </w:rPr>
              <w:t xml:space="preserve">Эксперты уверены, что наблюдаемый эффект близок к </w:t>
            </w:r>
            <w:proofErr w:type="gramStart"/>
            <w:r w:rsidRPr="00771F6E">
              <w:rPr>
                <w:rFonts w:ascii="Times New Roman" w:hAnsi="Times New Roman"/>
                <w:kern w:val="3"/>
              </w:rPr>
              <w:t>ожидаемому</w:t>
            </w:r>
            <w:proofErr w:type="gramEnd"/>
          </w:p>
        </w:tc>
      </w:tr>
      <w:tr w:rsidR="001F5A80" w:rsidRPr="00771F6E" w:rsidTr="00F418FA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b/>
                <w:kern w:val="3"/>
              </w:rPr>
              <w:t>В - среднее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kern w:val="3"/>
              </w:rPr>
              <w:t xml:space="preserve">Эксперты полагают, что наблюдаемый эффект близок к </w:t>
            </w:r>
            <w:proofErr w:type="gramStart"/>
            <w:r w:rsidRPr="00771F6E">
              <w:rPr>
                <w:rFonts w:ascii="Times New Roman" w:hAnsi="Times New Roman"/>
                <w:kern w:val="3"/>
              </w:rPr>
              <w:t>ожидаемому</w:t>
            </w:r>
            <w:proofErr w:type="gramEnd"/>
            <w:r w:rsidRPr="00771F6E">
              <w:rPr>
                <w:rFonts w:ascii="Times New Roman" w:hAnsi="Times New Roman"/>
                <w:kern w:val="3"/>
              </w:rPr>
              <w:t>, но может и существенно отличаться</w:t>
            </w:r>
          </w:p>
        </w:tc>
      </w:tr>
      <w:tr w:rsidR="001F5A80" w:rsidRPr="00771F6E" w:rsidTr="00F418FA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771F6E">
              <w:rPr>
                <w:rFonts w:ascii="Times New Roman" w:hAnsi="Times New Roman"/>
                <w:b/>
                <w:kern w:val="3"/>
              </w:rPr>
              <w:t>С – низкое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kern w:val="3"/>
              </w:rPr>
              <w:t>Наблюдаемый эффект может существенно отличаться от ожидаемого эффекта</w:t>
            </w:r>
          </w:p>
        </w:tc>
      </w:tr>
      <w:tr w:rsidR="001F5A80" w:rsidRPr="00771F6E" w:rsidTr="00F418FA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771F6E">
              <w:rPr>
                <w:rFonts w:ascii="Times New Roman" w:hAnsi="Times New Roman"/>
                <w:b/>
                <w:kern w:val="3"/>
                <w:lang w:val="en-US"/>
              </w:rPr>
              <w:t>D</w:t>
            </w:r>
            <w:r w:rsidRPr="00771F6E">
              <w:rPr>
                <w:rFonts w:ascii="Times New Roman" w:hAnsi="Times New Roman"/>
                <w:b/>
                <w:kern w:val="3"/>
              </w:rPr>
              <w:t xml:space="preserve"> – Очень низкое</w:t>
            </w:r>
          </w:p>
        </w:tc>
        <w:tc>
          <w:tcPr>
            <w:tcW w:w="7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80" w:rsidRPr="00771F6E" w:rsidRDefault="001F5A80" w:rsidP="00F418F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771F6E">
              <w:rPr>
                <w:rFonts w:ascii="Times New Roman" w:hAnsi="Times New Roman"/>
                <w:kern w:val="3"/>
              </w:rPr>
              <w:t xml:space="preserve">Ожидаемый эффект очень неопределенный и может весьма отличаться от </w:t>
            </w:r>
            <w:proofErr w:type="gramStart"/>
            <w:r w:rsidRPr="00771F6E">
              <w:rPr>
                <w:rFonts w:ascii="Times New Roman" w:hAnsi="Times New Roman"/>
                <w:kern w:val="3"/>
              </w:rPr>
              <w:t>наблюдаемого</w:t>
            </w:r>
            <w:proofErr w:type="gramEnd"/>
          </w:p>
        </w:tc>
      </w:tr>
    </w:tbl>
    <w:p w:rsidR="001F5A80" w:rsidRPr="00771F6E" w:rsidRDefault="001F5A80" w:rsidP="001F5A80">
      <w:pPr>
        <w:rPr>
          <w:rFonts w:ascii="Times New Roman" w:hAnsi="Times New Roman"/>
          <w:kern w:val="3"/>
          <w:sz w:val="24"/>
          <w:szCs w:val="20"/>
        </w:rPr>
      </w:pPr>
      <w:r w:rsidRPr="00771F6E">
        <w:rPr>
          <w:rFonts w:ascii="Times New Roman" w:hAnsi="Times New Roman"/>
          <w:b/>
          <w:kern w:val="3"/>
          <w:sz w:val="24"/>
          <w:szCs w:val="20"/>
        </w:rPr>
        <w:t xml:space="preserve">Методы, используемые для формулировки рекомендаций:  </w:t>
      </w:r>
      <w:r w:rsidRPr="00771F6E">
        <w:rPr>
          <w:rFonts w:ascii="Times New Roman" w:hAnsi="Times New Roman"/>
          <w:kern w:val="3"/>
          <w:sz w:val="24"/>
          <w:szCs w:val="20"/>
        </w:rPr>
        <w:t>Консенсус экспертов</w:t>
      </w:r>
    </w:p>
    <w:p w:rsidR="00150A2C" w:rsidRPr="00771F6E" w:rsidRDefault="00150A2C" w:rsidP="00150A2C">
      <w:pPr>
        <w:rPr>
          <w:rFonts w:ascii="Times New Roman" w:hAnsi="Times New Roman"/>
          <w:b/>
          <w:sz w:val="28"/>
          <w:szCs w:val="28"/>
          <w:lang w:eastAsia="zh-CN"/>
        </w:rPr>
      </w:pPr>
      <w:r w:rsidRPr="00771F6E">
        <w:rPr>
          <w:rFonts w:ascii="Times New Roman" w:hAnsi="Times New Roman"/>
          <w:b/>
          <w:sz w:val="28"/>
          <w:szCs w:val="28"/>
          <w:lang w:eastAsia="zh-CN"/>
        </w:rPr>
        <w:br w:type="page"/>
      </w:r>
      <w:r w:rsidR="00042DF7" w:rsidRPr="00771F6E">
        <w:rPr>
          <w:rFonts w:ascii="Times New Roman" w:hAnsi="Times New Roman"/>
          <w:b/>
          <w:sz w:val="28"/>
          <w:szCs w:val="28"/>
          <w:lang w:eastAsia="zh-CN"/>
        </w:rPr>
        <w:lastRenderedPageBreak/>
        <w:t>В. СПИСОК СОКРАЩЕНИЙ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150A2C" w:rsidRPr="00771F6E" w:rsidTr="00042DF7">
        <w:trPr>
          <w:trHeight w:val="246"/>
        </w:trPr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АГ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артериальная гипертензия</w:t>
            </w:r>
          </w:p>
        </w:tc>
      </w:tr>
      <w:tr w:rsidR="00150A2C" w:rsidRPr="00771F6E" w:rsidTr="00042DF7">
        <w:trPr>
          <w:trHeight w:val="246"/>
        </w:trPr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АД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артериальное давление</w:t>
            </w:r>
          </w:p>
        </w:tc>
      </w:tr>
      <w:tr w:rsidR="00150A2C" w:rsidRPr="00771F6E" w:rsidTr="00042DF7"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БРА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блокаторы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рецепторов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ангиотензина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71F6E">
              <w:rPr>
                <w:rFonts w:ascii="Times New Roman" w:hAnsi="Times New Roman"/>
                <w:sz w:val="24"/>
                <w:szCs w:val="24"/>
                <w:lang w:val="en-US" w:eastAsia="zh-CN"/>
              </w:rPr>
              <w:t>II</w:t>
            </w:r>
          </w:p>
        </w:tc>
      </w:tr>
      <w:tr w:rsidR="00150A2C" w:rsidRPr="00771F6E" w:rsidTr="00042DF7"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ГН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гломерулонефрит</w:t>
            </w:r>
            <w:proofErr w:type="spellEnd"/>
          </w:p>
        </w:tc>
      </w:tr>
      <w:tr w:rsidR="00150A2C" w:rsidRPr="00771F6E" w:rsidTr="00042DF7"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и-АПФ</w:t>
            </w:r>
            <w:proofErr w:type="spellEnd"/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ингибиторы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ангиотензинпревращающего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фермента</w:t>
            </w:r>
          </w:p>
        </w:tc>
      </w:tr>
      <w:tr w:rsidR="00150A2C" w:rsidRPr="00771F6E" w:rsidTr="00042DF7"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НС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нефротический синдром</w:t>
            </w:r>
          </w:p>
        </w:tc>
      </w:tr>
      <w:tr w:rsidR="00150A2C" w:rsidRPr="00771F6E" w:rsidTr="00042DF7">
        <w:trPr>
          <w:trHeight w:val="246"/>
        </w:trPr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ОПН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острая почечная недостаточность</w:t>
            </w:r>
          </w:p>
        </w:tc>
      </w:tr>
      <w:tr w:rsidR="00150A2C" w:rsidRPr="00771F6E" w:rsidTr="00042DF7">
        <w:trPr>
          <w:trHeight w:val="246"/>
        </w:trPr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ПУ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протеинурия</w:t>
            </w:r>
          </w:p>
        </w:tc>
      </w:tr>
      <w:tr w:rsidR="00042DF7" w:rsidRPr="00771F6E" w:rsidTr="00042DF7">
        <w:trPr>
          <w:trHeight w:val="246"/>
        </w:trPr>
        <w:tc>
          <w:tcPr>
            <w:tcW w:w="2268" w:type="dxa"/>
            <w:vAlign w:val="center"/>
          </w:tcPr>
          <w:p w:rsidR="00042DF7" w:rsidRPr="00771F6E" w:rsidRDefault="00042DF7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ПШГ</w:t>
            </w:r>
          </w:p>
        </w:tc>
        <w:tc>
          <w:tcPr>
            <w:tcW w:w="7303" w:type="dxa"/>
            <w:vAlign w:val="center"/>
          </w:tcPr>
          <w:p w:rsidR="00042DF7" w:rsidRPr="00771F6E" w:rsidRDefault="00042DF7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Пурпура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Шенлейна-Геноха</w:t>
            </w:r>
            <w:proofErr w:type="spellEnd"/>
          </w:p>
        </w:tc>
      </w:tr>
      <w:tr w:rsidR="00150A2C" w:rsidRPr="00771F6E" w:rsidTr="00042DF7"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СКФ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скорость клубочковой фильтрации</w:t>
            </w:r>
          </w:p>
        </w:tc>
      </w:tr>
      <w:tr w:rsidR="00150A2C" w:rsidRPr="00771F6E" w:rsidTr="00042DF7"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>ТПН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терминальная почечная недостаточность</w:t>
            </w:r>
          </w:p>
        </w:tc>
      </w:tr>
      <w:tr w:rsidR="00150A2C" w:rsidRPr="00771F6E" w:rsidTr="00042DF7"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ХБП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хроническая болезнь почек</w:t>
            </w:r>
          </w:p>
        </w:tc>
      </w:tr>
      <w:tr w:rsidR="00150A2C" w:rsidRPr="00771F6E" w:rsidTr="00042DF7">
        <w:trPr>
          <w:trHeight w:val="246"/>
        </w:trPr>
        <w:tc>
          <w:tcPr>
            <w:tcW w:w="2268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ХПН</w:t>
            </w:r>
          </w:p>
        </w:tc>
        <w:tc>
          <w:tcPr>
            <w:tcW w:w="7303" w:type="dxa"/>
            <w:vAlign w:val="center"/>
          </w:tcPr>
          <w:p w:rsidR="00150A2C" w:rsidRPr="00771F6E" w:rsidRDefault="00150A2C" w:rsidP="008C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eastAsia="zh-CN"/>
              </w:rPr>
              <w:t>хроническая почечная недостаточность</w:t>
            </w:r>
          </w:p>
        </w:tc>
      </w:tr>
    </w:tbl>
    <w:p w:rsidR="00150A2C" w:rsidRPr="00771F6E" w:rsidRDefault="00150A2C" w:rsidP="00150A2C">
      <w:pPr>
        <w:pStyle w:val="ListParagraph1"/>
        <w:spacing w:after="120"/>
        <w:ind w:left="0"/>
        <w:rPr>
          <w:rFonts w:ascii="Times New Roman" w:hAnsi="Times New Roman"/>
          <w:b/>
          <w:bCs/>
          <w:caps/>
          <w:sz w:val="24"/>
          <w:szCs w:val="24"/>
        </w:rPr>
      </w:pPr>
    </w:p>
    <w:p w:rsidR="00150A2C" w:rsidRPr="00771F6E" w:rsidRDefault="00042DF7" w:rsidP="00150A2C">
      <w:pPr>
        <w:pStyle w:val="ListParagraph1"/>
        <w:spacing w:after="120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 w:rsidRPr="00771F6E">
        <w:rPr>
          <w:rFonts w:ascii="Times New Roman" w:hAnsi="Times New Roman"/>
          <w:b/>
          <w:bCs/>
          <w:caps/>
          <w:sz w:val="24"/>
          <w:szCs w:val="24"/>
        </w:rPr>
        <w:t xml:space="preserve">Г. </w:t>
      </w:r>
      <w:r w:rsidR="00150A2C" w:rsidRPr="00771F6E">
        <w:rPr>
          <w:rFonts w:ascii="Times New Roman" w:hAnsi="Times New Roman"/>
          <w:b/>
          <w:bCs/>
          <w:caps/>
          <w:sz w:val="24"/>
          <w:szCs w:val="24"/>
        </w:rPr>
        <w:t xml:space="preserve">Кодирование </w:t>
      </w:r>
      <w:r w:rsidR="0092288E" w:rsidRPr="00771F6E">
        <w:rPr>
          <w:rFonts w:ascii="Times New Roman" w:hAnsi="Times New Roman"/>
          <w:b/>
          <w:bCs/>
          <w:sz w:val="24"/>
          <w:szCs w:val="24"/>
        </w:rPr>
        <w:t>ГН</w:t>
      </w:r>
      <w:r w:rsidRPr="00771F6E">
        <w:rPr>
          <w:rFonts w:ascii="Times New Roman" w:hAnsi="Times New Roman"/>
          <w:b/>
          <w:bCs/>
          <w:sz w:val="24"/>
          <w:szCs w:val="24"/>
        </w:rPr>
        <w:t>-</w:t>
      </w:r>
      <w:r w:rsidR="0092288E" w:rsidRPr="00771F6E">
        <w:rPr>
          <w:rFonts w:ascii="Times New Roman" w:hAnsi="Times New Roman"/>
          <w:b/>
          <w:bCs/>
          <w:sz w:val="24"/>
          <w:szCs w:val="24"/>
        </w:rPr>
        <w:t xml:space="preserve">ПШГ </w:t>
      </w:r>
      <w:r w:rsidR="00150A2C" w:rsidRPr="00771F6E">
        <w:rPr>
          <w:rFonts w:ascii="Times New Roman" w:hAnsi="Times New Roman"/>
          <w:b/>
          <w:bCs/>
          <w:caps/>
          <w:sz w:val="24"/>
          <w:szCs w:val="24"/>
        </w:rPr>
        <w:t>по международной классификации болезней 10-пересмотра (МКБ-10)</w:t>
      </w:r>
    </w:p>
    <w:p w:rsidR="00150A2C" w:rsidRPr="00771F6E" w:rsidRDefault="00150A2C" w:rsidP="00150A2C">
      <w:pPr>
        <w:pStyle w:val="ListParagraph1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 xml:space="preserve">Класс </w:t>
      </w:r>
      <w:r w:rsidRPr="00771F6E">
        <w:rPr>
          <w:rFonts w:ascii="Times New Roman" w:hAnsi="Times New Roman"/>
          <w:sz w:val="24"/>
          <w:szCs w:val="24"/>
          <w:lang w:val="en-US"/>
        </w:rPr>
        <w:t>XIV</w:t>
      </w:r>
      <w:r w:rsidRPr="00771F6E">
        <w:rPr>
          <w:rFonts w:ascii="Times New Roman" w:hAnsi="Times New Roman"/>
          <w:sz w:val="24"/>
          <w:szCs w:val="24"/>
        </w:rPr>
        <w:t>: Болезни мочеполовой системы</w:t>
      </w:r>
    </w:p>
    <w:p w:rsidR="00150A2C" w:rsidRPr="00771F6E" w:rsidRDefault="00150A2C" w:rsidP="00150A2C">
      <w:pPr>
        <w:pStyle w:val="ListParagraph1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kern w:val="3"/>
          <w:sz w:val="24"/>
          <w:szCs w:val="20"/>
        </w:rPr>
      </w:pPr>
      <w:r w:rsidRPr="00771F6E">
        <w:rPr>
          <w:rFonts w:ascii="Times New Roman" w:hAnsi="Times New Roman"/>
          <w:sz w:val="24"/>
          <w:szCs w:val="24"/>
        </w:rPr>
        <w:t xml:space="preserve">Блок </w:t>
      </w:r>
      <w:r w:rsidRPr="00771F6E">
        <w:rPr>
          <w:rFonts w:ascii="Times New Roman" w:hAnsi="Times New Roman"/>
          <w:sz w:val="24"/>
          <w:szCs w:val="24"/>
          <w:lang w:val="en-US"/>
        </w:rPr>
        <w:t>N</w:t>
      </w:r>
      <w:r w:rsidRPr="00771F6E">
        <w:rPr>
          <w:rFonts w:ascii="Times New Roman" w:hAnsi="Times New Roman"/>
          <w:sz w:val="24"/>
          <w:szCs w:val="24"/>
        </w:rPr>
        <w:t>00-</w:t>
      </w:r>
      <w:r w:rsidRPr="00771F6E">
        <w:rPr>
          <w:rFonts w:ascii="Times New Roman" w:hAnsi="Times New Roman"/>
          <w:sz w:val="24"/>
          <w:szCs w:val="24"/>
          <w:lang w:val="en-US"/>
        </w:rPr>
        <w:t>N</w:t>
      </w:r>
      <w:r w:rsidRPr="00771F6E">
        <w:rPr>
          <w:rFonts w:ascii="Times New Roman" w:hAnsi="Times New Roman"/>
          <w:sz w:val="24"/>
          <w:szCs w:val="24"/>
        </w:rPr>
        <w:t xml:space="preserve">08: </w:t>
      </w:r>
      <w:proofErr w:type="spellStart"/>
      <w:r w:rsidRPr="00771F6E">
        <w:rPr>
          <w:rFonts w:ascii="Times New Roman" w:hAnsi="Times New Roman"/>
          <w:sz w:val="24"/>
          <w:szCs w:val="24"/>
        </w:rPr>
        <w:t>Гломерулярные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 болезни</w:t>
      </w:r>
    </w:p>
    <w:p w:rsidR="000E60C7" w:rsidRPr="00771F6E" w:rsidRDefault="000E60C7" w:rsidP="007F1E9E">
      <w:pPr>
        <w:pStyle w:val="ListParagraph1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kern w:val="3"/>
          <w:sz w:val="24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8641"/>
      </w:tblGrid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00.3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Острый нефритический синдром – диффузный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01.3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Быстропрогрессирующий нефритический синдром – диффузный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02.3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Рецидивирующая и устойчивая гематурия – </w:t>
            </w:r>
            <w:proofErr w:type="gramStart"/>
            <w:r w:rsidRPr="00771F6E">
              <w:rPr>
                <w:rFonts w:ascii="Times New Roman" w:hAnsi="Times New Roman"/>
                <w:sz w:val="24"/>
                <w:szCs w:val="24"/>
              </w:rPr>
              <w:t>диффузный</w:t>
            </w:r>
            <w:proofErr w:type="gram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03.3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Хронический нефритический синдром – диффузный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04.3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Нефротический синдром – диффузный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05.3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Нефритический синдром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неуточненный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– диффузный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06.3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Изолированная протеинурия с уточненным морфологическим поражением – </w:t>
            </w:r>
            <w:proofErr w:type="gramStart"/>
            <w:r w:rsidRPr="00771F6E">
              <w:rPr>
                <w:rFonts w:ascii="Times New Roman" w:hAnsi="Times New Roman"/>
                <w:sz w:val="24"/>
                <w:szCs w:val="24"/>
              </w:rPr>
              <w:t>диффузный</w:t>
            </w:r>
            <w:proofErr w:type="gram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  <w:tr w:rsidR="000E60C7" w:rsidRPr="00771F6E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1F6E">
              <w:rPr>
                <w:rFonts w:ascii="Times New Roman" w:hAnsi="Times New Roman"/>
                <w:sz w:val="24"/>
                <w:szCs w:val="24"/>
              </w:rPr>
              <w:t>07.3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771F6E" w:rsidRDefault="000E60C7" w:rsidP="00D22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6E">
              <w:rPr>
                <w:rFonts w:ascii="Times New Roman" w:hAnsi="Times New Roman"/>
                <w:sz w:val="24"/>
                <w:szCs w:val="24"/>
              </w:rPr>
              <w:t xml:space="preserve">Наследственная нефропатия, не классифицированная в других рубриках – </w:t>
            </w:r>
            <w:proofErr w:type="gramStart"/>
            <w:r w:rsidRPr="00771F6E">
              <w:rPr>
                <w:rFonts w:ascii="Times New Roman" w:hAnsi="Times New Roman"/>
                <w:sz w:val="24"/>
                <w:szCs w:val="24"/>
              </w:rPr>
              <w:t>диффузный</w:t>
            </w:r>
            <w:proofErr w:type="gram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мезангиальный</w:t>
            </w:r>
            <w:proofErr w:type="spellEnd"/>
            <w:r w:rsidRPr="00771F6E">
              <w:rPr>
                <w:rFonts w:ascii="Times New Roman" w:hAnsi="Times New Roman"/>
                <w:sz w:val="24"/>
                <w:szCs w:val="24"/>
              </w:rPr>
              <w:t xml:space="preserve"> пролиферативный </w:t>
            </w:r>
            <w:proofErr w:type="spellStart"/>
            <w:r w:rsidRPr="00771F6E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</w:p>
        </w:tc>
      </w:tr>
    </w:tbl>
    <w:p w:rsidR="000E60C7" w:rsidRPr="00771F6E" w:rsidRDefault="000E60C7">
      <w:pPr>
        <w:rPr>
          <w:rFonts w:ascii="Times New Roman" w:hAnsi="Times New Roman"/>
          <w:b/>
          <w:caps/>
          <w:sz w:val="24"/>
          <w:szCs w:val="24"/>
        </w:rPr>
      </w:pPr>
      <w:r w:rsidRPr="00771F6E">
        <w:rPr>
          <w:rFonts w:ascii="Times New Roman" w:hAnsi="Times New Roman"/>
          <w:caps/>
          <w:sz w:val="24"/>
          <w:szCs w:val="24"/>
        </w:rPr>
        <w:br w:type="page"/>
      </w:r>
      <w:r w:rsidR="003B03DB" w:rsidRPr="00771F6E">
        <w:rPr>
          <w:rFonts w:ascii="Times New Roman" w:hAnsi="Times New Roman"/>
          <w:caps/>
          <w:sz w:val="24"/>
          <w:szCs w:val="24"/>
        </w:rPr>
        <w:lastRenderedPageBreak/>
        <w:t>1</w:t>
      </w:r>
      <w:r w:rsidR="00FB3F8E" w:rsidRPr="00771F6E">
        <w:rPr>
          <w:rFonts w:ascii="Times New Roman" w:hAnsi="Times New Roman"/>
          <w:caps/>
          <w:sz w:val="24"/>
          <w:szCs w:val="24"/>
        </w:rPr>
        <w:t xml:space="preserve">. </w:t>
      </w:r>
      <w:r w:rsidRPr="00771F6E">
        <w:rPr>
          <w:rFonts w:ascii="Times New Roman" w:hAnsi="Times New Roman"/>
          <w:b/>
          <w:caps/>
          <w:sz w:val="24"/>
          <w:szCs w:val="24"/>
        </w:rPr>
        <w:t>ВВЕДЕНИЕ</w:t>
      </w:r>
    </w:p>
    <w:p w:rsidR="000E60C7" w:rsidRPr="00771F6E" w:rsidRDefault="000E60C7" w:rsidP="004D1C9A">
      <w:pPr>
        <w:spacing w:before="240" w:after="240"/>
        <w:rPr>
          <w:rFonts w:ascii="Times New Roman" w:hAnsi="Times New Roman"/>
          <w:b/>
          <w:caps/>
          <w:sz w:val="24"/>
          <w:szCs w:val="24"/>
        </w:rPr>
      </w:pPr>
      <w:r w:rsidRPr="00771F6E">
        <w:rPr>
          <w:rFonts w:ascii="Times New Roman" w:hAnsi="Times New Roman"/>
          <w:b/>
          <w:sz w:val="24"/>
          <w:szCs w:val="24"/>
        </w:rPr>
        <w:t xml:space="preserve">Определение </w:t>
      </w:r>
    </w:p>
    <w:p w:rsidR="00EB0EE0" w:rsidRPr="00771F6E" w:rsidRDefault="00EB0EE0" w:rsidP="00007AB0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Пурпура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Шенлейна-Геноха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(</w:t>
      </w:r>
      <w:proofErr w:type="spellStart"/>
      <w:r w:rsidRPr="00771F6E">
        <w:rPr>
          <w:rFonts w:eastAsia="Times New Roman"/>
          <w:i/>
          <w:color w:val="auto"/>
          <w:sz w:val="24"/>
          <w:szCs w:val="24"/>
          <w:lang w:eastAsia="en-US"/>
        </w:rPr>
        <w:t>син</w:t>
      </w:r>
      <w:proofErr w:type="spellEnd"/>
      <w:r w:rsidRPr="00771F6E">
        <w:rPr>
          <w:rFonts w:eastAsia="Times New Roman"/>
          <w:i/>
          <w:color w:val="auto"/>
          <w:sz w:val="24"/>
          <w:szCs w:val="24"/>
          <w:lang w:eastAsia="en-US"/>
        </w:rPr>
        <w:t>.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: геморрагический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васкулит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анафилактоидная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пурпура, геморрагический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капилляротоксикоз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) – системный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васкулит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>, поражающий преимущественно сосуды микроциркуляторного русла (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артериолы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, капилляры 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послкапиллярные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венулы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) и характеризующийся отложением в их стенке иммунных депозитов, состоящих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преимущственно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из иммуноглобулина</w:t>
      </w: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А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>, который клинически проявляется пурпурой (кожной геморрагической сыпью) в сочетании с поражением суставов, желудочно</w:t>
      </w:r>
      <w:r w:rsidR="00572999" w:rsidRPr="00771F6E">
        <w:rPr>
          <w:rFonts w:eastAsia="Times New Roman"/>
          <w:color w:val="auto"/>
          <w:sz w:val="24"/>
          <w:szCs w:val="24"/>
          <w:lang w:eastAsia="en-US"/>
        </w:rPr>
        <w:t>-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кишечного тракта и почек.</w:t>
      </w:r>
    </w:p>
    <w:p w:rsidR="00EB0EE0" w:rsidRPr="00771F6E" w:rsidRDefault="00EB0EE0" w:rsidP="00EB0EE0">
      <w:pPr>
        <w:spacing w:before="240" w:after="240"/>
        <w:rPr>
          <w:rFonts w:ascii="Times New Roman" w:hAnsi="Times New Roman"/>
          <w:b/>
          <w:sz w:val="24"/>
          <w:szCs w:val="24"/>
        </w:rPr>
      </w:pPr>
      <w:r w:rsidRPr="00771F6E">
        <w:rPr>
          <w:rFonts w:ascii="Times New Roman" w:hAnsi="Times New Roman"/>
          <w:b/>
          <w:sz w:val="24"/>
          <w:szCs w:val="24"/>
        </w:rPr>
        <w:t>Эпидемиология</w:t>
      </w:r>
    </w:p>
    <w:p w:rsidR="00C2189D" w:rsidRPr="00771F6E" w:rsidRDefault="00676A02" w:rsidP="00007AB0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Пурпура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Шенлейна-Геноха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(ПШГ) может развиться в любом возрасте, однако преимущественно поражает детей. </w:t>
      </w:r>
      <w:r w:rsidR="005613AF" w:rsidRPr="00771F6E">
        <w:rPr>
          <w:rFonts w:eastAsia="Times New Roman"/>
          <w:color w:val="auto"/>
          <w:sz w:val="24"/>
          <w:szCs w:val="24"/>
          <w:lang w:eastAsia="en-US"/>
        </w:rPr>
        <w:t xml:space="preserve">Данные о распространенности </w:t>
      </w:r>
      <w:r w:rsidR="001F5A80" w:rsidRPr="00771F6E">
        <w:rPr>
          <w:rFonts w:eastAsia="Times New Roman"/>
          <w:color w:val="auto"/>
          <w:sz w:val="24"/>
          <w:szCs w:val="24"/>
          <w:lang w:eastAsia="en-US"/>
        </w:rPr>
        <w:t>ПШГ</w:t>
      </w:r>
      <w:r w:rsidR="005613AF" w:rsidRPr="00771F6E">
        <w:rPr>
          <w:rFonts w:eastAsia="Times New Roman"/>
          <w:color w:val="auto"/>
          <w:sz w:val="24"/>
          <w:szCs w:val="24"/>
          <w:lang w:eastAsia="en-US"/>
        </w:rPr>
        <w:t xml:space="preserve"> варьируют в зависимости от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используемых критериев диагностики, составляя от 6,1</w:t>
      </w:r>
      <w:r w:rsidR="00C2189D" w:rsidRPr="00771F6E">
        <w:rPr>
          <w:rFonts w:eastAsia="Times New Roman"/>
          <w:color w:val="auto"/>
          <w:sz w:val="24"/>
          <w:szCs w:val="24"/>
          <w:lang w:eastAsia="en-US"/>
        </w:rPr>
        <w:t xml:space="preserve"> случаев на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100000 детей в Нидерландах до 20,4</w:t>
      </w:r>
      <w:r w:rsidR="00C2189D" w:rsidRPr="00771F6E">
        <w:rPr>
          <w:rFonts w:eastAsia="Times New Roman"/>
          <w:color w:val="auto"/>
          <w:sz w:val="24"/>
          <w:szCs w:val="24"/>
          <w:lang w:eastAsia="en-US"/>
        </w:rPr>
        <w:t xml:space="preserve"> случаев на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100000 детей в Великобритании </w:t>
      </w:r>
      <w:r w:rsidR="002C7817" w:rsidRPr="00771F6E">
        <w:rPr>
          <w:rFonts w:eastAsia="Times New Roman"/>
          <w:color w:val="auto"/>
          <w:sz w:val="24"/>
          <w:szCs w:val="24"/>
          <w:lang w:eastAsia="en-US"/>
        </w:rPr>
        <w:t>[4-7]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. Пик заболеваемости приходится на возраст от 2 до 6 лет </w:t>
      </w:r>
      <w:r w:rsidR="002C7817" w:rsidRPr="00771F6E">
        <w:rPr>
          <w:rFonts w:eastAsia="Times New Roman"/>
          <w:color w:val="auto"/>
          <w:sz w:val="24"/>
          <w:szCs w:val="24"/>
          <w:lang w:eastAsia="en-US"/>
        </w:rPr>
        <w:t>[</w:t>
      </w:r>
      <w:r w:rsidR="004116C6" w:rsidRPr="00771F6E">
        <w:rPr>
          <w:rFonts w:eastAsia="Times New Roman"/>
          <w:color w:val="auto"/>
          <w:sz w:val="24"/>
          <w:szCs w:val="24"/>
          <w:lang w:eastAsia="en-US"/>
        </w:rPr>
        <w:t>8</w:t>
      </w:r>
      <w:r w:rsidR="002C7817" w:rsidRPr="00771F6E">
        <w:rPr>
          <w:rFonts w:eastAsia="Times New Roman"/>
          <w:color w:val="auto"/>
          <w:sz w:val="24"/>
          <w:szCs w:val="24"/>
          <w:lang w:eastAsia="en-US"/>
        </w:rPr>
        <w:t>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. С возрастом частота новых случаев ПШГ снижается, </w:t>
      </w:r>
      <w:r w:rsidR="00C2189D" w:rsidRPr="00771F6E">
        <w:rPr>
          <w:rFonts w:eastAsia="Times New Roman"/>
          <w:color w:val="auto"/>
          <w:sz w:val="24"/>
          <w:szCs w:val="24"/>
          <w:lang w:eastAsia="en-US"/>
        </w:rPr>
        <w:t xml:space="preserve">составляя у взрослых около 1,3 случаев на 100000 населения в год </w:t>
      </w:r>
      <w:r w:rsidR="004116C6" w:rsidRPr="00771F6E">
        <w:rPr>
          <w:rFonts w:eastAsia="Times New Roman"/>
          <w:color w:val="auto"/>
          <w:sz w:val="24"/>
          <w:szCs w:val="24"/>
          <w:lang w:eastAsia="en-US"/>
        </w:rPr>
        <w:t>[9]</w:t>
      </w:r>
      <w:r w:rsidR="00C2189D" w:rsidRPr="00771F6E">
        <w:rPr>
          <w:rFonts w:eastAsia="Times New Roman"/>
          <w:color w:val="auto"/>
          <w:sz w:val="24"/>
          <w:szCs w:val="24"/>
          <w:lang w:eastAsia="en-US"/>
        </w:rPr>
        <w:t>. Заболеваемость П</w:t>
      </w:r>
      <w:r w:rsidR="00414EBD" w:rsidRPr="00771F6E">
        <w:rPr>
          <w:rFonts w:eastAsia="Times New Roman"/>
          <w:color w:val="auto"/>
          <w:sz w:val="24"/>
          <w:szCs w:val="24"/>
          <w:lang w:eastAsia="en-US"/>
        </w:rPr>
        <w:t>Ш</w:t>
      </w:r>
      <w:r w:rsidR="00C2189D" w:rsidRPr="00771F6E">
        <w:rPr>
          <w:rFonts w:eastAsia="Times New Roman"/>
          <w:color w:val="auto"/>
          <w:sz w:val="24"/>
          <w:szCs w:val="24"/>
          <w:lang w:eastAsia="en-US"/>
        </w:rPr>
        <w:t>Г не зависит от расовой или э</w:t>
      </w:r>
      <w:r w:rsidR="006417C9" w:rsidRPr="00771F6E">
        <w:rPr>
          <w:rFonts w:eastAsia="Times New Roman"/>
          <w:color w:val="auto"/>
          <w:sz w:val="24"/>
          <w:szCs w:val="24"/>
          <w:lang w:eastAsia="en-US"/>
        </w:rPr>
        <w:t>тн</w:t>
      </w:r>
      <w:r w:rsidR="00C2189D" w:rsidRPr="00771F6E">
        <w:rPr>
          <w:rFonts w:eastAsia="Times New Roman"/>
          <w:color w:val="auto"/>
          <w:sz w:val="24"/>
          <w:szCs w:val="24"/>
          <w:lang w:eastAsia="en-US"/>
        </w:rPr>
        <w:t xml:space="preserve">ической принадлежности. </w:t>
      </w:r>
      <w:r w:rsidR="00414EBD" w:rsidRPr="00771F6E">
        <w:rPr>
          <w:rFonts w:eastAsia="Times New Roman"/>
          <w:color w:val="auto"/>
          <w:sz w:val="24"/>
          <w:szCs w:val="24"/>
          <w:lang w:eastAsia="en-US"/>
        </w:rPr>
        <w:t>Мужчины и женщины заболевают с одинаковой частотой.</w:t>
      </w:r>
    </w:p>
    <w:p w:rsidR="00414EBD" w:rsidRPr="00771F6E" w:rsidRDefault="00414EBD" w:rsidP="00007AB0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Частота поражения почек при ПШГ у взрослых варьирует от 45 до 85% </w:t>
      </w:r>
      <w:r w:rsidR="004116C6" w:rsidRPr="00771F6E">
        <w:rPr>
          <w:rFonts w:eastAsia="Times New Roman"/>
          <w:color w:val="auto"/>
          <w:sz w:val="24"/>
          <w:szCs w:val="24"/>
          <w:lang w:eastAsia="en-US"/>
        </w:rPr>
        <w:t>[10]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. Однако среди всех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гломерулонефритов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(ГН) ГН, обусловленный ПШГ, составляет только 0,6-2% </w:t>
      </w:r>
      <w:r w:rsidR="004116C6" w:rsidRPr="00771F6E">
        <w:rPr>
          <w:rFonts w:eastAsia="Times New Roman"/>
          <w:color w:val="auto"/>
          <w:sz w:val="24"/>
          <w:szCs w:val="24"/>
          <w:lang w:eastAsia="en-US"/>
        </w:rPr>
        <w:t>[10-12]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0E60C7" w:rsidRPr="00771F6E" w:rsidRDefault="001D13A6" w:rsidP="00007AB0">
      <w:pPr>
        <w:pStyle w:val="Text05"/>
        <w:spacing w:before="0" w:after="200" w:line="276" w:lineRule="auto"/>
        <w:rPr>
          <w:bCs/>
          <w:color w:val="auto"/>
          <w:sz w:val="24"/>
          <w:szCs w:val="24"/>
        </w:rPr>
      </w:pPr>
      <w:r w:rsidRPr="00771F6E">
        <w:rPr>
          <w:bCs/>
          <w:color w:val="auto"/>
          <w:sz w:val="24"/>
          <w:szCs w:val="24"/>
        </w:rPr>
        <w:t xml:space="preserve">У 35-50% пациентов </w:t>
      </w:r>
      <w:r w:rsidR="00905764" w:rsidRPr="00771F6E">
        <w:rPr>
          <w:bCs/>
          <w:color w:val="auto"/>
          <w:sz w:val="24"/>
          <w:szCs w:val="24"/>
        </w:rPr>
        <w:t xml:space="preserve">ГН-ПШГ с трансплантированной почкой отмечается рецидив болезни в трансплантате, у 10 % </w:t>
      </w:r>
      <w:r w:rsidR="004A1690" w:rsidRPr="00771F6E">
        <w:rPr>
          <w:bCs/>
          <w:color w:val="auto"/>
          <w:sz w:val="24"/>
          <w:szCs w:val="24"/>
        </w:rPr>
        <w:t>–</w:t>
      </w:r>
      <w:r w:rsidR="00905764" w:rsidRPr="00771F6E">
        <w:rPr>
          <w:bCs/>
          <w:color w:val="auto"/>
          <w:sz w:val="24"/>
          <w:szCs w:val="24"/>
        </w:rPr>
        <w:t xml:space="preserve"> с полной потерей его </w:t>
      </w:r>
      <w:r w:rsidR="00BF7457" w:rsidRPr="00771F6E">
        <w:rPr>
          <w:bCs/>
          <w:color w:val="auto"/>
          <w:sz w:val="24"/>
          <w:szCs w:val="24"/>
        </w:rPr>
        <w:t>функции</w:t>
      </w:r>
      <w:r w:rsidR="004116C6" w:rsidRPr="00771F6E">
        <w:rPr>
          <w:bCs/>
          <w:color w:val="auto"/>
          <w:sz w:val="24"/>
          <w:szCs w:val="24"/>
        </w:rPr>
        <w:t xml:space="preserve"> [13]</w:t>
      </w:r>
      <w:r w:rsidR="00905764" w:rsidRPr="00771F6E">
        <w:rPr>
          <w:bCs/>
          <w:color w:val="auto"/>
          <w:sz w:val="24"/>
          <w:szCs w:val="24"/>
        </w:rPr>
        <w:t>.</w:t>
      </w:r>
    </w:p>
    <w:p w:rsidR="000E60C7" w:rsidRPr="00771F6E" w:rsidRDefault="000A3BEE" w:rsidP="004D1C9A">
      <w:pPr>
        <w:spacing w:before="240" w:after="240"/>
        <w:rPr>
          <w:rFonts w:ascii="Times New Roman" w:hAnsi="Times New Roman"/>
          <w:b/>
          <w:sz w:val="24"/>
          <w:szCs w:val="24"/>
        </w:rPr>
      </w:pPr>
      <w:r w:rsidRPr="00771F6E">
        <w:rPr>
          <w:rFonts w:ascii="Times New Roman" w:hAnsi="Times New Roman"/>
          <w:b/>
          <w:sz w:val="24"/>
          <w:szCs w:val="24"/>
        </w:rPr>
        <w:t xml:space="preserve">Этиология </w:t>
      </w:r>
    </w:p>
    <w:p w:rsidR="000A3BEE" w:rsidRPr="00771F6E" w:rsidRDefault="006417C9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Этиология ПШГ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неизвеста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0A3BEE" w:rsidRPr="00771F6E" w:rsidRDefault="000A3BEE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>В качестве провоцирующих факторов рассматривают бактериальные и вирусные инфекции респираторного и желудочно-кишечного тракта, а также алкоголь</w:t>
      </w:r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 (в том числе некрепкие напитки)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, лекарственные и пищевые аллергены</w:t>
      </w:r>
      <w:r w:rsidR="006417C9" w:rsidRPr="00771F6E">
        <w:rPr>
          <w:rFonts w:eastAsia="Times New Roman"/>
          <w:color w:val="auto"/>
          <w:sz w:val="24"/>
          <w:szCs w:val="24"/>
          <w:lang w:eastAsia="en-US"/>
        </w:rPr>
        <w:t>, травмы, укусы насекомых, вакцинацию, переохлаждение.</w:t>
      </w:r>
    </w:p>
    <w:p w:rsidR="006417C9" w:rsidRPr="00771F6E" w:rsidRDefault="006417C9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b/>
          <w:color w:val="auto"/>
          <w:sz w:val="24"/>
          <w:szCs w:val="24"/>
        </w:rPr>
        <w:t>Патогенез</w:t>
      </w:r>
    </w:p>
    <w:p w:rsidR="00632E66" w:rsidRPr="00771F6E" w:rsidRDefault="00632E66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ПШГ представляет собой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васкулит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мелких сосудов с отложением содержащих иммуноглобулины</w:t>
      </w: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А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(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IgA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) иммунных комплексов и С3 в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артериолах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, капиллярах 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венулах</w:t>
      </w:r>
      <w:proofErr w:type="spellEnd"/>
      <w:r w:rsidR="00741C44" w:rsidRPr="00771F6E">
        <w:rPr>
          <w:rFonts w:eastAsia="Times New Roman"/>
          <w:color w:val="auto"/>
          <w:sz w:val="24"/>
          <w:szCs w:val="24"/>
          <w:lang w:eastAsia="en-US"/>
        </w:rPr>
        <w:t xml:space="preserve"> различных органов и тканей.</w:t>
      </w:r>
    </w:p>
    <w:p w:rsidR="00905764" w:rsidRPr="00771F6E" w:rsidRDefault="0092288E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В</w:t>
      </w:r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возникновении </w:t>
      </w:r>
      <w:r w:rsidR="005E45F9" w:rsidRPr="00771F6E">
        <w:rPr>
          <w:rFonts w:eastAsia="Times New Roman"/>
          <w:color w:val="auto"/>
          <w:sz w:val="24"/>
          <w:szCs w:val="24"/>
          <w:lang w:eastAsia="en-US"/>
        </w:rPr>
        <w:t xml:space="preserve">ГН при ПШГ </w:t>
      </w:r>
      <w:r w:rsidR="00B8713E" w:rsidRPr="00771F6E">
        <w:rPr>
          <w:rFonts w:eastAsia="Times New Roman"/>
          <w:color w:val="auto"/>
          <w:sz w:val="24"/>
          <w:szCs w:val="24"/>
          <w:lang w:eastAsia="en-US"/>
        </w:rPr>
        <w:t xml:space="preserve">ведущую роль </w:t>
      </w:r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играют изменения структуры молекулы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IgA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, обусловленные нарушением</w:t>
      </w:r>
      <w:r w:rsidR="00780AAD"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процессов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гликозилирования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и полимеризации и, как следствие, нарушени</w:t>
      </w:r>
      <w:r w:rsidR="005F536D" w:rsidRPr="00771F6E">
        <w:rPr>
          <w:rFonts w:eastAsia="Times New Roman"/>
          <w:color w:val="auto"/>
          <w:sz w:val="24"/>
          <w:szCs w:val="24"/>
          <w:lang w:eastAsia="en-US"/>
        </w:rPr>
        <w:t>я</w:t>
      </w:r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ее взаимодействия с белками матрикса, рецепторами к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IgA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на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мезангиальных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клетках, лейкоцитах и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гепатоцитах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, с компонентами системы </w:t>
      </w:r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lastRenderedPageBreak/>
        <w:t>комплемента, приводящи</w:t>
      </w:r>
      <w:r w:rsidR="005F536D" w:rsidRPr="00771F6E">
        <w:rPr>
          <w:rFonts w:eastAsia="Times New Roman"/>
          <w:color w:val="auto"/>
          <w:sz w:val="24"/>
          <w:szCs w:val="24"/>
          <w:lang w:eastAsia="en-US"/>
        </w:rPr>
        <w:t>м</w:t>
      </w:r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к депонированию полимерного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IgAl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в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мезангии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и запуску синтеза различных </w:t>
      </w:r>
      <w:proofErr w:type="spellStart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>цитокинов</w:t>
      </w:r>
      <w:proofErr w:type="spell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и факторов роста клетками почек и циркулирующими клетками</w:t>
      </w:r>
      <w:proofErr w:type="gramEnd"/>
      <w:r w:rsidR="000E60C7" w:rsidRPr="00771F6E">
        <w:rPr>
          <w:rFonts w:eastAsia="Times New Roman"/>
          <w:color w:val="auto"/>
          <w:sz w:val="24"/>
          <w:szCs w:val="24"/>
          <w:lang w:eastAsia="en-US"/>
        </w:rPr>
        <w:t xml:space="preserve"> с развитием характерных морфологических изменений.</w:t>
      </w:r>
      <w:r w:rsidR="005E45F9"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</w:p>
    <w:p w:rsidR="000E60C7" w:rsidRPr="00771F6E" w:rsidRDefault="005E45F9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Общность патогенеза </w:t>
      </w:r>
      <w:r w:rsidR="00B8713E" w:rsidRPr="00771F6E">
        <w:rPr>
          <w:rFonts w:eastAsia="Times New Roman"/>
          <w:color w:val="auto"/>
          <w:sz w:val="24"/>
          <w:szCs w:val="24"/>
          <w:lang w:eastAsia="en-US"/>
        </w:rPr>
        <w:t xml:space="preserve">ГН при ПШГ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с IgA-нефропати</w:t>
      </w:r>
      <w:r w:rsidR="00B8713E" w:rsidRPr="00771F6E">
        <w:rPr>
          <w:rFonts w:eastAsia="Times New Roman"/>
          <w:color w:val="auto"/>
          <w:sz w:val="24"/>
          <w:szCs w:val="24"/>
          <w:lang w:eastAsia="en-US"/>
        </w:rPr>
        <w:t>ей привела к появлению гипотезы о том</w:t>
      </w:r>
      <w:r w:rsidR="00905764" w:rsidRPr="00771F6E">
        <w:rPr>
          <w:rFonts w:eastAsia="Times New Roman"/>
          <w:color w:val="auto"/>
          <w:sz w:val="24"/>
          <w:szCs w:val="24"/>
          <w:lang w:eastAsia="en-US"/>
        </w:rPr>
        <w:t xml:space="preserve">, </w:t>
      </w:r>
      <w:r w:rsidR="00B8713E" w:rsidRPr="00771F6E">
        <w:rPr>
          <w:rFonts w:eastAsia="Times New Roman"/>
          <w:color w:val="auto"/>
          <w:sz w:val="24"/>
          <w:szCs w:val="24"/>
          <w:lang w:eastAsia="en-US"/>
        </w:rPr>
        <w:t xml:space="preserve">что они представляют собой системный и локальный (почечный) варианты одного заболевания. </w:t>
      </w:r>
    </w:p>
    <w:p w:rsidR="0072678E" w:rsidRPr="00771F6E" w:rsidRDefault="0072678E" w:rsidP="0072678E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Морфологические критерии</w:t>
      </w:r>
    </w:p>
    <w:p w:rsidR="0072678E" w:rsidRPr="00771F6E" w:rsidRDefault="0072678E" w:rsidP="0072678E">
      <w:pPr>
        <w:pStyle w:val="Text05"/>
        <w:numPr>
          <w:ilvl w:val="0"/>
          <w:numId w:val="0"/>
        </w:numPr>
        <w:spacing w:before="0" w:after="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>Морфологические изменения при ГН, ассоциированном с ПШГ, аналогичны изменениям при IgA-нефропатии</w:t>
      </w:r>
      <w:r w:rsidR="005E1F88"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72678E" w:rsidRPr="00771F6E" w:rsidRDefault="0072678E" w:rsidP="0072678E">
      <w:pPr>
        <w:pStyle w:val="Text05"/>
        <w:numPr>
          <w:ilvl w:val="0"/>
          <w:numId w:val="0"/>
        </w:numPr>
        <w:spacing w:before="0" w:after="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При </w:t>
      </w:r>
      <w:r w:rsidRPr="00771F6E">
        <w:rPr>
          <w:rFonts w:eastAsia="Times New Roman"/>
          <w:b/>
          <w:bCs/>
          <w:i/>
          <w:iCs/>
          <w:color w:val="auto"/>
          <w:sz w:val="24"/>
          <w:szCs w:val="24"/>
          <w:lang w:eastAsia="en-US"/>
        </w:rPr>
        <w:t>световой микроскопии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спектр морфологических изменений широкий и варьирует, в том числе, в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биоптатах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отдельного пациента: </w:t>
      </w:r>
    </w:p>
    <w:p w:rsidR="0072678E" w:rsidRPr="00771F6E" w:rsidRDefault="0072678E" w:rsidP="0072678E">
      <w:pPr>
        <w:pStyle w:val="Text05"/>
        <w:numPr>
          <w:ilvl w:val="0"/>
          <w:numId w:val="16"/>
        </w:numPr>
        <w:spacing w:before="0" w:after="0" w:line="276" w:lineRule="auto"/>
        <w:rPr>
          <w:rFonts w:eastAsia="Times New Roman"/>
          <w:color w:val="auto"/>
          <w:sz w:val="24"/>
          <w:szCs w:val="24"/>
          <w:lang w:eastAsia="en-US"/>
        </w:rPr>
      </w:pP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характерны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очаговая или диффузная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мезангиальная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пролиферация с расширением внеклеточного матрикса;</w:t>
      </w:r>
    </w:p>
    <w:p w:rsidR="0072678E" w:rsidRPr="00771F6E" w:rsidRDefault="0072678E" w:rsidP="0072678E">
      <w:pPr>
        <w:pStyle w:val="Text05"/>
        <w:numPr>
          <w:ilvl w:val="0"/>
          <w:numId w:val="16"/>
        </w:numPr>
        <w:spacing w:before="0" w:after="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возможны различной степени выраженности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интр</w:t>
      </w: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а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>-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или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экстракапиллярная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пролиферация;</w:t>
      </w:r>
    </w:p>
    <w:p w:rsidR="0072678E" w:rsidRPr="00771F6E" w:rsidRDefault="0072678E" w:rsidP="0072678E">
      <w:pPr>
        <w:pStyle w:val="Text05"/>
        <w:numPr>
          <w:ilvl w:val="0"/>
          <w:numId w:val="16"/>
        </w:numPr>
        <w:spacing w:before="0" w:after="0" w:line="276" w:lineRule="auto"/>
        <w:rPr>
          <w:rFonts w:eastAsia="Times New Roman"/>
          <w:color w:val="auto"/>
          <w:sz w:val="24"/>
          <w:szCs w:val="24"/>
          <w:lang w:eastAsia="en-US"/>
        </w:rPr>
      </w:pP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возможны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сегментарный некроз капилляров клубочка и образование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полулуний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>;</w:t>
      </w:r>
    </w:p>
    <w:p w:rsidR="0072678E" w:rsidRPr="00771F6E" w:rsidRDefault="0072678E" w:rsidP="0072678E">
      <w:pPr>
        <w:pStyle w:val="Text05"/>
        <w:numPr>
          <w:ilvl w:val="0"/>
          <w:numId w:val="16"/>
        </w:numPr>
        <w:spacing w:before="0" w:after="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на поздних стадиях болезни отмечается интерстициальный фиброз,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ангиосклероз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>, атрофия канальцев.</w:t>
      </w:r>
    </w:p>
    <w:p w:rsidR="0072678E" w:rsidRPr="00771F6E" w:rsidRDefault="0072678E" w:rsidP="0072678E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proofErr w:type="spellStart"/>
      <w:r w:rsidRPr="00771F6E">
        <w:rPr>
          <w:rFonts w:eastAsia="Times New Roman"/>
          <w:b/>
          <w:bCs/>
          <w:i/>
          <w:iCs/>
          <w:color w:val="auto"/>
          <w:sz w:val="24"/>
          <w:szCs w:val="24"/>
          <w:lang w:eastAsia="en-US"/>
        </w:rPr>
        <w:t>Иммунофлюоресцентное</w:t>
      </w:r>
      <w:proofErr w:type="spellEnd"/>
      <w:r w:rsidRPr="00771F6E">
        <w:rPr>
          <w:rFonts w:eastAsia="Times New Roman"/>
          <w:b/>
          <w:bCs/>
          <w:i/>
          <w:iCs/>
          <w:color w:val="auto"/>
          <w:sz w:val="24"/>
          <w:szCs w:val="24"/>
          <w:lang w:eastAsia="en-US"/>
        </w:rPr>
        <w:t xml:space="preserve"> исследование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– основа диагностики IgA-нефропатии. Констатируют наличие депозитов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IgA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(часто в сочетании с депозитами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Ig</w:t>
      </w: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М</w:t>
      </w:r>
      <w:proofErr w:type="spellEnd"/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и/или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IgG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) в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мезангии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и в капиллярных стенках клубочков. Почти всегда обнаруживают депозиты С3, реже С</w:t>
      </w: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4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>; наличие депозитов С1q не характерно.</w:t>
      </w:r>
    </w:p>
    <w:p w:rsidR="0072678E" w:rsidRPr="00771F6E" w:rsidRDefault="0072678E" w:rsidP="0072678E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При </w:t>
      </w:r>
      <w:r w:rsidRPr="00771F6E">
        <w:rPr>
          <w:rFonts w:eastAsia="Times New Roman"/>
          <w:b/>
          <w:bCs/>
          <w:i/>
          <w:iCs/>
          <w:color w:val="auto"/>
          <w:sz w:val="24"/>
          <w:szCs w:val="24"/>
          <w:lang w:eastAsia="en-US"/>
        </w:rPr>
        <w:t>электронной микроскопии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характерны отложения электронно-плотного материала в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мезангии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, реже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субэндотелиально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или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субэпителиально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, соответствующие иммунным комплексам, определяемым при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иммунофлуоресцентной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микроскопии.</w:t>
      </w:r>
    </w:p>
    <w:p w:rsidR="000E60C7" w:rsidRPr="00771F6E" w:rsidRDefault="000E60C7" w:rsidP="005F536D">
      <w:pPr>
        <w:spacing w:before="240" w:after="240"/>
        <w:rPr>
          <w:rFonts w:ascii="Times New Roman" w:hAnsi="Times New Roman"/>
          <w:b/>
          <w:sz w:val="24"/>
          <w:szCs w:val="24"/>
        </w:rPr>
      </w:pPr>
      <w:r w:rsidRPr="00771F6E">
        <w:rPr>
          <w:rFonts w:ascii="Times New Roman" w:hAnsi="Times New Roman"/>
          <w:b/>
          <w:sz w:val="24"/>
          <w:szCs w:val="24"/>
        </w:rPr>
        <w:t>Клиническая картина</w:t>
      </w:r>
    </w:p>
    <w:p w:rsidR="0092288E" w:rsidRPr="00771F6E" w:rsidRDefault="0092288E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>Клиническая картина ПШГ представлена четырьмя характерными синдромами</w:t>
      </w:r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 xml:space="preserve"> (кожной геморрагической сыпью, </w:t>
      </w:r>
      <w:proofErr w:type="spellStart"/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>артропатией</w:t>
      </w:r>
      <w:proofErr w:type="spellEnd"/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>, абдоминальным синдромом, поражением почек)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, которые могут проявляться в любой последовательности в течение нескольких дней или недель болезни.</w:t>
      </w:r>
    </w:p>
    <w:p w:rsidR="0092288E" w:rsidRPr="00771F6E" w:rsidRDefault="0092288E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Кожная сыпь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 xml:space="preserve">наблюдается у всех больных и является обязательным диагностическим критерием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ПШГ</w:t>
      </w:r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>. М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ожет быть </w:t>
      </w: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представлена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петехиями, пурпурой, </w:t>
      </w:r>
      <w:proofErr w:type="spellStart"/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>экхимозами</w:t>
      </w:r>
      <w:proofErr w:type="spellEnd"/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 xml:space="preserve">. У некоторых пациентов первоначально появляются </w:t>
      </w:r>
      <w:proofErr w:type="spellStart"/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>уртикарные</w:t>
      </w:r>
      <w:proofErr w:type="spellEnd"/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 xml:space="preserve"> высыпания. </w:t>
      </w:r>
      <w:r w:rsidR="00632E66" w:rsidRPr="00771F6E">
        <w:rPr>
          <w:rFonts w:eastAsia="Times New Roman"/>
          <w:color w:val="auto"/>
          <w:sz w:val="24"/>
          <w:szCs w:val="24"/>
          <w:lang w:eastAsia="en-US"/>
        </w:rPr>
        <w:t xml:space="preserve">Высыпания обычно локализуются на ногах и ягодицах, но могут возникать и на руках, лице, туловище. </w:t>
      </w:r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>Кожная сыпь, как правило, служит первым клиническим проявлением заболевания; в дальнейшем к ней присоединяются симптомы поражения друг</w:t>
      </w:r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и</w:t>
      </w:r>
      <w:r w:rsidR="00234CEE" w:rsidRPr="00771F6E">
        <w:rPr>
          <w:rFonts w:eastAsia="Times New Roman"/>
          <w:color w:val="auto"/>
          <w:sz w:val="24"/>
          <w:szCs w:val="24"/>
          <w:lang w:eastAsia="en-US"/>
        </w:rPr>
        <w:t>х органов и систем.</w:t>
      </w:r>
    </w:p>
    <w:p w:rsidR="00234CEE" w:rsidRPr="00771F6E" w:rsidRDefault="00234CEE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Артропатия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(артралгии/артриты) наиболее часто поражает коленные и голеностопные суставы, однако изменения всегда </w:t>
      </w:r>
      <w:r w:rsidR="00632E66" w:rsidRPr="00771F6E">
        <w:rPr>
          <w:rFonts w:eastAsia="Times New Roman"/>
          <w:color w:val="auto"/>
          <w:sz w:val="24"/>
          <w:szCs w:val="24"/>
          <w:lang w:eastAsia="en-US"/>
        </w:rPr>
        <w:t>являются доброкачественными (</w:t>
      </w:r>
      <w:proofErr w:type="spellStart"/>
      <w:r w:rsidR="00632E66" w:rsidRPr="00771F6E">
        <w:rPr>
          <w:rFonts w:eastAsia="Times New Roman"/>
          <w:color w:val="auto"/>
          <w:sz w:val="24"/>
          <w:szCs w:val="24"/>
          <w:lang w:eastAsia="en-US"/>
        </w:rPr>
        <w:t>неэрозивными</w:t>
      </w:r>
      <w:proofErr w:type="spellEnd"/>
      <w:r w:rsidR="00632E66" w:rsidRPr="00771F6E">
        <w:rPr>
          <w:rFonts w:eastAsia="Times New Roman"/>
          <w:color w:val="auto"/>
          <w:sz w:val="24"/>
          <w:szCs w:val="24"/>
          <w:lang w:eastAsia="en-US"/>
        </w:rPr>
        <w:t>), стойкой деформации суставов не возникает.</w:t>
      </w:r>
    </w:p>
    <w:p w:rsidR="00632E66" w:rsidRPr="00771F6E" w:rsidRDefault="00632E66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lastRenderedPageBreak/>
        <w:t>Поражение ЖКТ</w:t>
      </w:r>
      <w:r w:rsidR="00741C44"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проявляется болями в животе по типу колик, часто в сочетании с тошнотой, рвотой, запорами или диареей (иногда в стуле присутствуют кровь и слизь). Выраженные </w:t>
      </w:r>
      <w:proofErr w:type="spellStart"/>
      <w:r w:rsidR="00741C44" w:rsidRPr="00771F6E">
        <w:rPr>
          <w:rFonts w:eastAsia="Times New Roman"/>
          <w:color w:val="auto"/>
          <w:sz w:val="24"/>
          <w:szCs w:val="24"/>
          <w:lang w:eastAsia="en-US"/>
        </w:rPr>
        <w:t>абдоминалгии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741C44" w:rsidRPr="00771F6E">
        <w:rPr>
          <w:rFonts w:eastAsia="Times New Roman"/>
          <w:color w:val="auto"/>
          <w:sz w:val="24"/>
          <w:szCs w:val="24"/>
          <w:lang w:eastAsia="en-US"/>
        </w:rPr>
        <w:t xml:space="preserve">часто обусловливают </w:t>
      </w:r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тяжелое состояние больных в начале заболевания. В некоторых </w:t>
      </w:r>
      <w:proofErr w:type="spellStart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случах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 появляются признаки </w:t>
      </w:r>
      <w:proofErr w:type="spellStart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разражения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 брюшины, как в результате асептического перитонита на фоне </w:t>
      </w:r>
      <w:proofErr w:type="spellStart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васкулита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 мелких сосудов брюшины, так и при перфорации стенки кишечника. Наиболее частые осложнения: желудочно-кишечное кровотечение, тонкокишечная непроходимость, панкреатит, аппендицит, холецистит, </w:t>
      </w:r>
      <w:proofErr w:type="spellStart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мальабсорбция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5F536D" w:rsidRPr="00771F6E" w:rsidRDefault="0092288E" w:rsidP="002966A3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Поражение почек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при ПШГ представлено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гломерулонефритом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, </w:t>
      </w:r>
      <w:r w:rsidR="005F536D" w:rsidRPr="00771F6E">
        <w:rPr>
          <w:rFonts w:eastAsia="Times New Roman"/>
          <w:color w:val="auto"/>
          <w:sz w:val="24"/>
          <w:szCs w:val="24"/>
          <w:lang w:eastAsia="en-US"/>
        </w:rPr>
        <w:t xml:space="preserve">проявления </w:t>
      </w:r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которого </w:t>
      </w:r>
      <w:r w:rsidR="005F536D" w:rsidRPr="00771F6E">
        <w:rPr>
          <w:rFonts w:eastAsia="Times New Roman"/>
          <w:color w:val="auto"/>
          <w:sz w:val="24"/>
          <w:szCs w:val="24"/>
          <w:lang w:eastAsia="en-US"/>
        </w:rPr>
        <w:t xml:space="preserve">варьируют от </w:t>
      </w:r>
      <w:proofErr w:type="gramStart"/>
      <w:r w:rsidR="005F536D" w:rsidRPr="00771F6E">
        <w:rPr>
          <w:rFonts w:eastAsia="Times New Roman"/>
          <w:color w:val="auto"/>
          <w:sz w:val="24"/>
          <w:szCs w:val="24"/>
          <w:lang w:eastAsia="en-US"/>
        </w:rPr>
        <w:t>изолированной</w:t>
      </w:r>
      <w:proofErr w:type="gramEnd"/>
      <w:r w:rsidR="005F536D" w:rsidRPr="00771F6E">
        <w:rPr>
          <w:rFonts w:eastAsia="Times New Roman"/>
          <w:color w:val="auto"/>
          <w:sz w:val="24"/>
          <w:szCs w:val="24"/>
          <w:lang w:eastAsia="en-US"/>
        </w:rPr>
        <w:t xml:space="preserve"> бессимптомной </w:t>
      </w:r>
      <w:proofErr w:type="spellStart"/>
      <w:r w:rsidR="005F536D" w:rsidRPr="00771F6E">
        <w:rPr>
          <w:rFonts w:eastAsia="Times New Roman"/>
          <w:color w:val="auto"/>
          <w:sz w:val="24"/>
          <w:szCs w:val="24"/>
          <w:lang w:eastAsia="en-US"/>
        </w:rPr>
        <w:t>микрогематури</w:t>
      </w:r>
      <w:r w:rsidR="00632E66" w:rsidRPr="00771F6E">
        <w:rPr>
          <w:rFonts w:eastAsia="Times New Roman"/>
          <w:color w:val="auto"/>
          <w:sz w:val="24"/>
          <w:szCs w:val="24"/>
          <w:lang w:eastAsia="en-US"/>
        </w:rPr>
        <w:t>и</w:t>
      </w:r>
      <w:proofErr w:type="spellEnd"/>
      <w:r w:rsidR="00632E66" w:rsidRPr="00771F6E">
        <w:rPr>
          <w:rFonts w:eastAsia="Times New Roman"/>
          <w:color w:val="auto"/>
          <w:sz w:val="24"/>
          <w:szCs w:val="24"/>
          <w:lang w:eastAsia="en-US"/>
        </w:rPr>
        <w:t xml:space="preserve"> до быстропрогрессирующего ГН.</w:t>
      </w:r>
    </w:p>
    <w:p w:rsidR="00EA2FA5" w:rsidRPr="00771F6E" w:rsidRDefault="00EA2FA5" w:rsidP="00BA0468">
      <w:pPr>
        <w:pStyle w:val="Text05"/>
        <w:numPr>
          <w:ilvl w:val="0"/>
          <w:numId w:val="12"/>
        </w:numPr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>Гематурия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 xml:space="preserve">наблюдается у большинства больных: почти у половины </w:t>
      </w:r>
      <w:proofErr w:type="gramStart"/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>–</w:t>
      </w:r>
      <w:proofErr w:type="spellStart"/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>м</w:t>
      </w:r>
      <w:proofErr w:type="gramEnd"/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>икрогематурия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 xml:space="preserve">(часто в сочетании с протеинурией), примерно у 1/3 – </w:t>
      </w:r>
      <w:proofErr w:type="spellStart"/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>макрогематурия</w:t>
      </w:r>
      <w:proofErr w:type="spellEnd"/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 xml:space="preserve"> (как правило, в начале заболевания, но может возникать в дальнейшем на фоне респираторных инфекций или обострений кожного </w:t>
      </w:r>
      <w:proofErr w:type="spellStart"/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>васкулита</w:t>
      </w:r>
      <w:proofErr w:type="spellEnd"/>
      <w:r w:rsidR="00BA0468" w:rsidRPr="00771F6E">
        <w:rPr>
          <w:rFonts w:eastAsia="Times New Roman"/>
          <w:color w:val="auto"/>
          <w:sz w:val="24"/>
          <w:szCs w:val="24"/>
          <w:lang w:eastAsia="en-US"/>
        </w:rPr>
        <w:t>). Кроме того, в моче обнаруживают зернистые цилиндры</w:t>
      </w:r>
      <w:r w:rsidR="00617E03" w:rsidRPr="00771F6E">
        <w:rPr>
          <w:rFonts w:eastAsia="Times New Roman"/>
          <w:color w:val="auto"/>
          <w:sz w:val="24"/>
          <w:szCs w:val="24"/>
          <w:lang w:eastAsia="en-US"/>
        </w:rPr>
        <w:t>, содержащие эритроциты.</w:t>
      </w:r>
    </w:p>
    <w:p w:rsidR="00EA2FA5" w:rsidRPr="00771F6E" w:rsidRDefault="00EA2FA5" w:rsidP="00EA2FA5">
      <w:pPr>
        <w:pStyle w:val="Text05"/>
        <w:numPr>
          <w:ilvl w:val="0"/>
          <w:numId w:val="12"/>
        </w:numPr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>Протеинурия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617E03" w:rsidRPr="00771F6E">
        <w:rPr>
          <w:rFonts w:eastAsia="Times New Roman"/>
          <w:color w:val="auto"/>
          <w:sz w:val="24"/>
          <w:szCs w:val="24"/>
          <w:lang w:eastAsia="en-US"/>
        </w:rPr>
        <w:t>может быть различной, чаще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небольш</w:t>
      </w:r>
      <w:r w:rsidR="00617E03" w:rsidRPr="00771F6E">
        <w:rPr>
          <w:rFonts w:eastAsia="Times New Roman"/>
          <w:color w:val="auto"/>
          <w:sz w:val="24"/>
          <w:szCs w:val="24"/>
          <w:lang w:eastAsia="en-US"/>
        </w:rPr>
        <w:t>ой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(&lt;1 г/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сут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), </w:t>
      </w:r>
      <w:r w:rsidR="00617E03" w:rsidRPr="00771F6E">
        <w:rPr>
          <w:rFonts w:eastAsia="Times New Roman"/>
          <w:color w:val="auto"/>
          <w:sz w:val="24"/>
          <w:szCs w:val="24"/>
          <w:lang w:eastAsia="en-US"/>
        </w:rPr>
        <w:t>но в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озможно </w:t>
      </w:r>
      <w:r w:rsidR="00617E03" w:rsidRPr="00771F6E">
        <w:rPr>
          <w:rFonts w:eastAsia="Times New Roman"/>
          <w:color w:val="auto"/>
          <w:sz w:val="24"/>
          <w:szCs w:val="24"/>
          <w:lang w:eastAsia="en-US"/>
        </w:rPr>
        <w:t xml:space="preserve">и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развитие выраженной ПУ с формированием нефротического синдрома (НС).</w:t>
      </w:r>
    </w:p>
    <w:p w:rsidR="00617E03" w:rsidRPr="00771F6E" w:rsidRDefault="00EA2FA5" w:rsidP="00EA2FA5">
      <w:pPr>
        <w:pStyle w:val="Text05"/>
        <w:numPr>
          <w:ilvl w:val="0"/>
          <w:numId w:val="12"/>
        </w:numPr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>Артериальная гипертензия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617E03" w:rsidRPr="00771F6E">
        <w:rPr>
          <w:rFonts w:eastAsia="Times New Roman"/>
          <w:color w:val="auto"/>
          <w:sz w:val="24"/>
          <w:szCs w:val="24"/>
          <w:lang w:eastAsia="en-US"/>
        </w:rPr>
        <w:t>возникает в 14-20% случаев.</w:t>
      </w:r>
    </w:p>
    <w:p w:rsidR="00EA2FA5" w:rsidRPr="00771F6E" w:rsidRDefault="00617E03" w:rsidP="00DA6897">
      <w:pPr>
        <w:pStyle w:val="Text05"/>
        <w:numPr>
          <w:ilvl w:val="0"/>
          <w:numId w:val="12"/>
        </w:numPr>
        <w:spacing w:before="0" w:after="200" w:line="276" w:lineRule="auto"/>
        <w:rPr>
          <w:rFonts w:eastAsia="Times New Roman"/>
          <w:i/>
          <w:iCs/>
          <w:color w:val="auto"/>
          <w:sz w:val="24"/>
          <w:szCs w:val="24"/>
          <w:lang w:eastAsia="en-US"/>
        </w:rPr>
      </w:pPr>
      <w:proofErr w:type="gramStart"/>
      <w:r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 xml:space="preserve">Нарушение функции почек </w:t>
      </w:r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может возникнуть на любой стадии IgA-нефропатии (как в дебюте, так и при хронической почечной недостаточности (ХПН) в результате тяжелого острого иммунного повреждения с развитием </w:t>
      </w:r>
      <w:proofErr w:type="spellStart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некротизирующего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 ГН с </w:t>
      </w:r>
      <w:proofErr w:type="spellStart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>полулуниями</w:t>
      </w:r>
      <w:proofErr w:type="spellEnd"/>
      <w:r w:rsidR="00EA2FA5" w:rsidRPr="00771F6E">
        <w:rPr>
          <w:rFonts w:eastAsia="Times New Roman"/>
          <w:color w:val="auto"/>
          <w:sz w:val="24"/>
          <w:szCs w:val="24"/>
          <w:lang w:eastAsia="en-US"/>
        </w:rPr>
        <w:t xml:space="preserve"> или преходящей окклюзии канальцев эритроцитами.</w:t>
      </w:r>
      <w:r w:rsidR="00DA6897"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proofErr w:type="gramEnd"/>
    </w:p>
    <w:p w:rsidR="00DA6897" w:rsidRPr="00771F6E" w:rsidRDefault="00EA2FA5" w:rsidP="00DA6897">
      <w:pPr>
        <w:pStyle w:val="Text05"/>
        <w:numPr>
          <w:ilvl w:val="0"/>
          <w:numId w:val="12"/>
        </w:numPr>
        <w:spacing w:before="0" w:after="200" w:line="276" w:lineRule="auto"/>
        <w:rPr>
          <w:rFonts w:eastAsia="Times New Roman"/>
          <w:i/>
          <w:i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 xml:space="preserve">Хроническая почечная недостаточность </w:t>
      </w:r>
      <w:r w:rsidRPr="00771F6E">
        <w:rPr>
          <w:rFonts w:eastAsia="Times New Roman"/>
          <w:iCs/>
          <w:color w:val="auto"/>
          <w:sz w:val="24"/>
          <w:szCs w:val="24"/>
          <w:lang w:eastAsia="en-US"/>
        </w:rPr>
        <w:t>развивается</w:t>
      </w:r>
      <w:r w:rsidR="00DA6897" w:rsidRPr="00771F6E">
        <w:rPr>
          <w:rFonts w:eastAsia="Times New Roman"/>
          <w:iCs/>
          <w:color w:val="auto"/>
          <w:sz w:val="24"/>
          <w:szCs w:val="24"/>
          <w:lang w:eastAsia="en-US"/>
        </w:rPr>
        <w:t>, как правило, у взрослых</w:t>
      </w:r>
      <w:r w:rsidR="00DA6897"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>.</w:t>
      </w:r>
    </w:p>
    <w:p w:rsidR="00EA2FA5" w:rsidRPr="00771F6E" w:rsidRDefault="005E1F88" w:rsidP="00EA2FA5">
      <w:pPr>
        <w:pStyle w:val="Text05"/>
        <w:numPr>
          <w:ilvl w:val="0"/>
          <w:numId w:val="12"/>
        </w:numPr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>Возможно п</w:t>
      </w:r>
      <w:r w:rsidR="00EA2FA5"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 xml:space="preserve">овышение уровня </w:t>
      </w:r>
      <w:proofErr w:type="spellStart"/>
      <w:r w:rsidR="00EA2FA5"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>IgA</w:t>
      </w:r>
      <w:proofErr w:type="spellEnd"/>
      <w:r w:rsidRPr="00771F6E">
        <w:rPr>
          <w:rFonts w:eastAsia="Times New Roman"/>
          <w:i/>
          <w:iCs/>
          <w:color w:val="auto"/>
          <w:sz w:val="24"/>
          <w:szCs w:val="24"/>
          <w:lang w:eastAsia="en-US"/>
        </w:rPr>
        <w:t>.</w:t>
      </w:r>
    </w:p>
    <w:p w:rsidR="00262445" w:rsidRPr="00771F6E" w:rsidRDefault="00262445" w:rsidP="00191F12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olor w:val="auto"/>
          <w:sz w:val="24"/>
          <w:szCs w:val="24"/>
          <w:lang w:eastAsia="en-US"/>
        </w:rPr>
      </w:pPr>
    </w:p>
    <w:p w:rsidR="003E69CC" w:rsidRPr="00771F6E" w:rsidRDefault="003B03DB" w:rsidP="008A6212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 xml:space="preserve">2. </w:t>
      </w:r>
      <w:r w:rsidR="003E69CC"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>диагностика</w:t>
      </w:r>
      <w:r w:rsidR="00885D36"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 xml:space="preserve"> и дифференциальный диагноз</w:t>
      </w:r>
    </w:p>
    <w:p w:rsidR="00DA6897" w:rsidRPr="00771F6E" w:rsidRDefault="00DA6897" w:rsidP="00885D36">
      <w:pPr>
        <w:pStyle w:val="Text05"/>
        <w:numPr>
          <w:ilvl w:val="0"/>
          <w:numId w:val="0"/>
        </w:numPr>
        <w:spacing w:before="0" w:after="0" w:line="276" w:lineRule="auto"/>
        <w:rPr>
          <w:bCs/>
          <w:color w:val="auto"/>
          <w:sz w:val="24"/>
          <w:szCs w:val="24"/>
        </w:rPr>
      </w:pPr>
      <w:r w:rsidRPr="00771F6E">
        <w:rPr>
          <w:bCs/>
          <w:color w:val="auto"/>
          <w:sz w:val="24"/>
          <w:szCs w:val="24"/>
        </w:rPr>
        <w:t xml:space="preserve">Диагноз </w:t>
      </w:r>
      <w:r w:rsidR="00885D36" w:rsidRPr="00771F6E">
        <w:rPr>
          <w:bCs/>
          <w:color w:val="auto"/>
          <w:sz w:val="24"/>
          <w:szCs w:val="24"/>
        </w:rPr>
        <w:t>ПШГ устанавливают при наличии кожной геморрагической сыпи в сочетании с одним из следующих критериев:</w:t>
      </w:r>
    </w:p>
    <w:p w:rsidR="00885D36" w:rsidRPr="00771F6E" w:rsidRDefault="00885D36" w:rsidP="00885D36">
      <w:pPr>
        <w:pStyle w:val="Text05"/>
        <w:numPr>
          <w:ilvl w:val="0"/>
          <w:numId w:val="35"/>
        </w:numPr>
        <w:spacing w:before="0" w:after="0" w:line="276" w:lineRule="auto"/>
        <w:rPr>
          <w:bCs/>
          <w:color w:val="auto"/>
          <w:sz w:val="24"/>
          <w:szCs w:val="24"/>
        </w:rPr>
      </w:pPr>
      <w:proofErr w:type="spellStart"/>
      <w:r w:rsidRPr="00771F6E">
        <w:rPr>
          <w:bCs/>
          <w:color w:val="auto"/>
          <w:sz w:val="24"/>
          <w:szCs w:val="24"/>
        </w:rPr>
        <w:t>Абдоминалгии</w:t>
      </w:r>
      <w:proofErr w:type="spellEnd"/>
    </w:p>
    <w:p w:rsidR="00885D36" w:rsidRPr="00771F6E" w:rsidRDefault="00885D36" w:rsidP="00885D36">
      <w:pPr>
        <w:pStyle w:val="Text05"/>
        <w:numPr>
          <w:ilvl w:val="0"/>
          <w:numId w:val="35"/>
        </w:numPr>
        <w:spacing w:before="0" w:after="0" w:line="276" w:lineRule="auto"/>
        <w:rPr>
          <w:bCs/>
          <w:color w:val="auto"/>
          <w:sz w:val="24"/>
          <w:szCs w:val="24"/>
        </w:rPr>
      </w:pPr>
      <w:r w:rsidRPr="00771F6E">
        <w:rPr>
          <w:bCs/>
          <w:color w:val="auto"/>
          <w:sz w:val="24"/>
          <w:szCs w:val="24"/>
        </w:rPr>
        <w:t>Артралгии/суставной синдром</w:t>
      </w:r>
    </w:p>
    <w:p w:rsidR="00885D36" w:rsidRPr="00771F6E" w:rsidRDefault="00885D36" w:rsidP="00885D36">
      <w:pPr>
        <w:pStyle w:val="Text05"/>
        <w:numPr>
          <w:ilvl w:val="0"/>
          <w:numId w:val="35"/>
        </w:numPr>
        <w:spacing w:before="0" w:after="0" w:line="276" w:lineRule="auto"/>
        <w:rPr>
          <w:color w:val="auto"/>
          <w:sz w:val="24"/>
          <w:szCs w:val="24"/>
        </w:rPr>
      </w:pPr>
      <w:r w:rsidRPr="00771F6E">
        <w:rPr>
          <w:bCs/>
          <w:color w:val="auto"/>
          <w:sz w:val="24"/>
          <w:szCs w:val="24"/>
        </w:rPr>
        <w:t xml:space="preserve">Отложения </w:t>
      </w:r>
      <w:proofErr w:type="spellStart"/>
      <w:r w:rsidRPr="00771F6E">
        <w:rPr>
          <w:color w:val="auto"/>
          <w:sz w:val="24"/>
          <w:szCs w:val="24"/>
        </w:rPr>
        <w:t>IgA</w:t>
      </w:r>
      <w:proofErr w:type="spellEnd"/>
      <w:r w:rsidRPr="00771F6E">
        <w:rPr>
          <w:color w:val="auto"/>
          <w:sz w:val="24"/>
          <w:szCs w:val="24"/>
        </w:rPr>
        <w:t xml:space="preserve"> в пораженных тканях и органах (обычно выявляемые при биопсии кожи и/или почек).</w:t>
      </w:r>
    </w:p>
    <w:p w:rsidR="00885D36" w:rsidRPr="00771F6E" w:rsidRDefault="00885D36" w:rsidP="00885D36">
      <w:pPr>
        <w:pStyle w:val="Text05"/>
        <w:numPr>
          <w:ilvl w:val="0"/>
          <w:numId w:val="35"/>
        </w:numPr>
        <w:spacing w:before="0" w:after="0" w:line="276" w:lineRule="auto"/>
        <w:rPr>
          <w:color w:val="auto"/>
          <w:sz w:val="24"/>
          <w:szCs w:val="24"/>
        </w:rPr>
      </w:pPr>
      <w:r w:rsidRPr="00771F6E">
        <w:rPr>
          <w:color w:val="auto"/>
          <w:sz w:val="24"/>
          <w:szCs w:val="24"/>
        </w:rPr>
        <w:t>Протеинурия (более 0,3 г/</w:t>
      </w:r>
      <w:proofErr w:type="spellStart"/>
      <w:r w:rsidRPr="00771F6E">
        <w:rPr>
          <w:color w:val="auto"/>
          <w:sz w:val="24"/>
          <w:szCs w:val="24"/>
        </w:rPr>
        <w:t>сут</w:t>
      </w:r>
      <w:proofErr w:type="spellEnd"/>
      <w:r w:rsidRPr="00771F6E">
        <w:rPr>
          <w:color w:val="auto"/>
          <w:sz w:val="24"/>
          <w:szCs w:val="24"/>
        </w:rPr>
        <w:t>) и/или гематурия (более 5 эритроцитов в поле зрения).</w:t>
      </w:r>
    </w:p>
    <w:p w:rsidR="008A6212" w:rsidRPr="00771F6E" w:rsidRDefault="008A6212" w:rsidP="0060764C">
      <w:pPr>
        <w:pStyle w:val="Text05"/>
        <w:numPr>
          <w:ilvl w:val="0"/>
          <w:numId w:val="0"/>
        </w:numPr>
        <w:spacing w:line="240" w:lineRule="auto"/>
        <w:rPr>
          <w:color w:val="auto"/>
          <w:sz w:val="24"/>
          <w:szCs w:val="24"/>
        </w:rPr>
      </w:pPr>
      <w:r w:rsidRPr="00771F6E">
        <w:rPr>
          <w:color w:val="auto"/>
          <w:sz w:val="24"/>
          <w:szCs w:val="24"/>
        </w:rPr>
        <w:t>Необходим тщательный сбор анамнеза, комплексная оценка результатов клинического, лабораторного и инструментальн</w:t>
      </w:r>
      <w:r w:rsidR="001A074F" w:rsidRPr="00771F6E">
        <w:rPr>
          <w:color w:val="auto"/>
          <w:sz w:val="24"/>
          <w:szCs w:val="24"/>
        </w:rPr>
        <w:t xml:space="preserve">ого обследования для исключения других заболеваний, </w:t>
      </w:r>
      <w:r w:rsidR="001A074F" w:rsidRPr="00771F6E">
        <w:rPr>
          <w:color w:val="auto"/>
          <w:sz w:val="24"/>
          <w:szCs w:val="24"/>
        </w:rPr>
        <w:lastRenderedPageBreak/>
        <w:t>при которых может возникать кожная геморрагическая (или похожая на нее сыпь)</w:t>
      </w:r>
      <w:r w:rsidR="00947948" w:rsidRPr="00771F6E">
        <w:rPr>
          <w:color w:val="auto"/>
          <w:sz w:val="24"/>
          <w:szCs w:val="24"/>
        </w:rPr>
        <w:t xml:space="preserve"> в сочетании с поражением почек</w:t>
      </w:r>
      <w:r w:rsidR="001A074F" w:rsidRPr="00771F6E">
        <w:rPr>
          <w:color w:val="auto"/>
          <w:sz w:val="24"/>
          <w:szCs w:val="24"/>
        </w:rPr>
        <w:t>. Следует исключать:</w:t>
      </w:r>
    </w:p>
    <w:p w:rsidR="0091406B" w:rsidRPr="00771F6E" w:rsidRDefault="001A074F" w:rsidP="005C7422">
      <w:pPr>
        <w:pStyle w:val="Text05"/>
        <w:numPr>
          <w:ilvl w:val="0"/>
          <w:numId w:val="36"/>
        </w:numPr>
        <w:spacing w:line="240" w:lineRule="auto"/>
        <w:rPr>
          <w:color w:val="auto"/>
          <w:sz w:val="24"/>
          <w:szCs w:val="24"/>
        </w:rPr>
      </w:pPr>
      <w:proofErr w:type="spellStart"/>
      <w:r w:rsidRPr="00771F6E">
        <w:rPr>
          <w:i/>
          <w:color w:val="auto"/>
          <w:sz w:val="24"/>
          <w:szCs w:val="24"/>
        </w:rPr>
        <w:t>Васкулиты</w:t>
      </w:r>
      <w:proofErr w:type="spellEnd"/>
      <w:r w:rsidRPr="00771F6E">
        <w:rPr>
          <w:i/>
          <w:color w:val="auto"/>
          <w:sz w:val="24"/>
          <w:szCs w:val="24"/>
        </w:rPr>
        <w:t xml:space="preserve"> </w:t>
      </w:r>
      <w:r w:rsidR="005C7422" w:rsidRPr="00771F6E">
        <w:rPr>
          <w:i/>
          <w:color w:val="auto"/>
          <w:sz w:val="24"/>
          <w:szCs w:val="24"/>
        </w:rPr>
        <w:t>с поражением мелких сосудов</w:t>
      </w:r>
      <w:r w:rsidR="005C7422" w:rsidRPr="00771F6E">
        <w:rPr>
          <w:color w:val="auto"/>
          <w:sz w:val="24"/>
          <w:szCs w:val="24"/>
        </w:rPr>
        <w:t xml:space="preserve">: </w:t>
      </w:r>
      <w:proofErr w:type="spellStart"/>
      <w:r w:rsidR="005C7422" w:rsidRPr="00771F6E">
        <w:rPr>
          <w:color w:val="auto"/>
          <w:sz w:val="24"/>
          <w:szCs w:val="24"/>
        </w:rPr>
        <w:t>АНЦА-ассоциированные</w:t>
      </w:r>
      <w:proofErr w:type="spellEnd"/>
      <w:r w:rsidR="005C7422" w:rsidRPr="00771F6E">
        <w:rPr>
          <w:color w:val="auto"/>
          <w:sz w:val="24"/>
          <w:szCs w:val="24"/>
        </w:rPr>
        <w:t xml:space="preserve"> </w:t>
      </w:r>
      <w:proofErr w:type="spellStart"/>
      <w:r w:rsidR="005C7422" w:rsidRPr="00771F6E">
        <w:rPr>
          <w:color w:val="auto"/>
          <w:sz w:val="24"/>
          <w:szCs w:val="24"/>
        </w:rPr>
        <w:t>васкулиты</w:t>
      </w:r>
      <w:proofErr w:type="spellEnd"/>
      <w:r w:rsidR="005C7422" w:rsidRPr="00771F6E">
        <w:rPr>
          <w:color w:val="auto"/>
          <w:sz w:val="24"/>
          <w:szCs w:val="24"/>
        </w:rPr>
        <w:t xml:space="preserve">, </w:t>
      </w:r>
      <w:r w:rsidR="0091406B" w:rsidRPr="00771F6E">
        <w:rPr>
          <w:color w:val="auto"/>
          <w:sz w:val="24"/>
          <w:szCs w:val="24"/>
        </w:rPr>
        <w:t>СКВ,</w:t>
      </w:r>
      <w:r w:rsidR="00CE3457" w:rsidRPr="00771F6E">
        <w:rPr>
          <w:color w:val="auto"/>
          <w:sz w:val="24"/>
          <w:szCs w:val="24"/>
        </w:rPr>
        <w:t xml:space="preserve"> </w:t>
      </w:r>
      <w:proofErr w:type="spellStart"/>
      <w:r w:rsidR="005C7422" w:rsidRPr="00771F6E">
        <w:rPr>
          <w:color w:val="auto"/>
          <w:sz w:val="24"/>
          <w:szCs w:val="24"/>
        </w:rPr>
        <w:t>криоглобулинемический</w:t>
      </w:r>
      <w:proofErr w:type="spellEnd"/>
      <w:r w:rsidR="005C7422" w:rsidRPr="00771F6E">
        <w:rPr>
          <w:color w:val="auto"/>
          <w:sz w:val="24"/>
          <w:szCs w:val="24"/>
        </w:rPr>
        <w:t xml:space="preserve"> </w:t>
      </w:r>
      <w:proofErr w:type="spellStart"/>
      <w:r w:rsidR="005C7422" w:rsidRPr="00771F6E">
        <w:rPr>
          <w:color w:val="auto"/>
          <w:sz w:val="24"/>
          <w:szCs w:val="24"/>
        </w:rPr>
        <w:t>васкулит</w:t>
      </w:r>
      <w:proofErr w:type="spellEnd"/>
      <w:r w:rsidR="00CE3457" w:rsidRPr="00771F6E">
        <w:rPr>
          <w:color w:val="auto"/>
          <w:sz w:val="24"/>
          <w:szCs w:val="24"/>
        </w:rPr>
        <w:t>.</w:t>
      </w:r>
    </w:p>
    <w:p w:rsidR="0091406B" w:rsidRPr="00771F6E" w:rsidRDefault="0091406B" w:rsidP="005C7422">
      <w:pPr>
        <w:pStyle w:val="Text05"/>
        <w:numPr>
          <w:ilvl w:val="0"/>
          <w:numId w:val="36"/>
        </w:numPr>
        <w:spacing w:line="240" w:lineRule="auto"/>
        <w:rPr>
          <w:color w:val="auto"/>
          <w:sz w:val="24"/>
          <w:szCs w:val="24"/>
        </w:rPr>
      </w:pPr>
      <w:r w:rsidRPr="00771F6E">
        <w:rPr>
          <w:i/>
          <w:color w:val="auto"/>
          <w:sz w:val="24"/>
          <w:szCs w:val="24"/>
        </w:rPr>
        <w:t>Заболевания органов ЖКТ</w:t>
      </w:r>
      <w:r w:rsidR="00CE3457" w:rsidRPr="00771F6E">
        <w:rPr>
          <w:color w:val="auto"/>
          <w:sz w:val="24"/>
          <w:szCs w:val="24"/>
        </w:rPr>
        <w:t xml:space="preserve">, в том </w:t>
      </w:r>
      <w:proofErr w:type="gramStart"/>
      <w:r w:rsidR="00CE3457" w:rsidRPr="00771F6E">
        <w:rPr>
          <w:color w:val="auto"/>
          <w:sz w:val="24"/>
          <w:szCs w:val="24"/>
        </w:rPr>
        <w:t>числе</w:t>
      </w:r>
      <w:proofErr w:type="gramEnd"/>
      <w:r w:rsidRPr="00771F6E">
        <w:rPr>
          <w:color w:val="auto"/>
          <w:sz w:val="24"/>
          <w:szCs w:val="24"/>
        </w:rPr>
        <w:t xml:space="preserve"> хронические заболевания кишечника (например, болезнь Крона)</w:t>
      </w:r>
      <w:r w:rsidR="00CE3457" w:rsidRPr="00771F6E">
        <w:rPr>
          <w:color w:val="auto"/>
          <w:sz w:val="24"/>
          <w:szCs w:val="24"/>
        </w:rPr>
        <w:t>,</w:t>
      </w:r>
      <w:r w:rsidRPr="00771F6E">
        <w:rPr>
          <w:color w:val="auto"/>
          <w:sz w:val="24"/>
          <w:szCs w:val="24"/>
        </w:rPr>
        <w:t xml:space="preserve"> вторичный </w:t>
      </w:r>
      <w:proofErr w:type="spellStart"/>
      <w:r w:rsidRPr="00771F6E">
        <w:rPr>
          <w:color w:val="auto"/>
          <w:sz w:val="24"/>
          <w:szCs w:val="24"/>
        </w:rPr>
        <w:t>лейкоцитокластический</w:t>
      </w:r>
      <w:proofErr w:type="spellEnd"/>
      <w:r w:rsidRPr="00771F6E">
        <w:rPr>
          <w:color w:val="auto"/>
          <w:sz w:val="24"/>
          <w:szCs w:val="24"/>
        </w:rPr>
        <w:t xml:space="preserve"> </w:t>
      </w:r>
      <w:proofErr w:type="spellStart"/>
      <w:r w:rsidRPr="00771F6E">
        <w:rPr>
          <w:color w:val="auto"/>
          <w:sz w:val="24"/>
          <w:szCs w:val="24"/>
        </w:rPr>
        <w:t>васкулит</w:t>
      </w:r>
      <w:proofErr w:type="spellEnd"/>
      <w:r w:rsidRPr="00771F6E">
        <w:rPr>
          <w:color w:val="auto"/>
          <w:sz w:val="24"/>
          <w:szCs w:val="24"/>
        </w:rPr>
        <w:t xml:space="preserve"> при острых и хронических диффузных заболеваниях печени</w:t>
      </w:r>
      <w:r w:rsidR="00CE3457" w:rsidRPr="00771F6E">
        <w:rPr>
          <w:color w:val="auto"/>
          <w:sz w:val="24"/>
          <w:szCs w:val="24"/>
        </w:rPr>
        <w:t xml:space="preserve">, </w:t>
      </w:r>
      <w:proofErr w:type="spellStart"/>
      <w:r w:rsidR="00CE3457" w:rsidRPr="00771F6E">
        <w:rPr>
          <w:color w:val="auto"/>
          <w:sz w:val="24"/>
          <w:szCs w:val="24"/>
        </w:rPr>
        <w:t>иерсиниоз</w:t>
      </w:r>
      <w:proofErr w:type="spellEnd"/>
      <w:r w:rsidR="00CE3457" w:rsidRPr="00771F6E">
        <w:rPr>
          <w:color w:val="auto"/>
          <w:sz w:val="24"/>
          <w:szCs w:val="24"/>
        </w:rPr>
        <w:t>.</w:t>
      </w:r>
    </w:p>
    <w:p w:rsidR="001A074F" w:rsidRPr="00771F6E" w:rsidRDefault="0091406B" w:rsidP="005C7422">
      <w:pPr>
        <w:pStyle w:val="Text05"/>
        <w:numPr>
          <w:ilvl w:val="0"/>
          <w:numId w:val="36"/>
        </w:numPr>
        <w:spacing w:line="240" w:lineRule="auto"/>
        <w:rPr>
          <w:color w:val="auto"/>
          <w:sz w:val="24"/>
          <w:szCs w:val="24"/>
        </w:rPr>
      </w:pPr>
      <w:r w:rsidRPr="00771F6E">
        <w:rPr>
          <w:i/>
          <w:color w:val="auto"/>
          <w:sz w:val="24"/>
          <w:szCs w:val="24"/>
        </w:rPr>
        <w:t>Опухоли/</w:t>
      </w:r>
      <w:proofErr w:type="spellStart"/>
      <w:r w:rsidRPr="00771F6E">
        <w:rPr>
          <w:i/>
          <w:color w:val="auto"/>
          <w:sz w:val="24"/>
          <w:szCs w:val="24"/>
        </w:rPr>
        <w:t>лимфопролиферативные</w:t>
      </w:r>
      <w:proofErr w:type="spellEnd"/>
      <w:r w:rsidRPr="00771F6E">
        <w:rPr>
          <w:i/>
          <w:color w:val="auto"/>
          <w:sz w:val="24"/>
          <w:szCs w:val="24"/>
        </w:rPr>
        <w:t xml:space="preserve"> заболевания</w:t>
      </w:r>
      <w:r w:rsidR="005C7422" w:rsidRPr="00771F6E">
        <w:rPr>
          <w:color w:val="auto"/>
          <w:sz w:val="24"/>
          <w:szCs w:val="24"/>
        </w:rPr>
        <w:t>.</w:t>
      </w:r>
    </w:p>
    <w:p w:rsidR="005C7422" w:rsidRPr="00771F6E" w:rsidRDefault="005C7422" w:rsidP="005C7422">
      <w:pPr>
        <w:pStyle w:val="Text05"/>
        <w:numPr>
          <w:ilvl w:val="0"/>
          <w:numId w:val="36"/>
        </w:numPr>
        <w:spacing w:line="240" w:lineRule="auto"/>
        <w:rPr>
          <w:color w:val="auto"/>
          <w:sz w:val="24"/>
          <w:szCs w:val="24"/>
        </w:rPr>
      </w:pPr>
      <w:r w:rsidRPr="00771F6E">
        <w:rPr>
          <w:i/>
          <w:color w:val="auto"/>
          <w:sz w:val="24"/>
          <w:szCs w:val="24"/>
        </w:rPr>
        <w:t>Тромбоцитопении</w:t>
      </w:r>
      <w:r w:rsidRPr="00771F6E">
        <w:rPr>
          <w:color w:val="auto"/>
          <w:sz w:val="24"/>
          <w:szCs w:val="24"/>
        </w:rPr>
        <w:t>: все формы, особенно аутоиммунную тромбоцитопен</w:t>
      </w:r>
      <w:r w:rsidR="00947948" w:rsidRPr="00771F6E">
        <w:rPr>
          <w:color w:val="auto"/>
          <w:sz w:val="24"/>
          <w:szCs w:val="24"/>
        </w:rPr>
        <w:t>и</w:t>
      </w:r>
      <w:r w:rsidRPr="00771F6E">
        <w:rPr>
          <w:color w:val="auto"/>
          <w:sz w:val="24"/>
          <w:szCs w:val="24"/>
        </w:rPr>
        <w:t>ческую пурпуру.</w:t>
      </w:r>
    </w:p>
    <w:p w:rsidR="005C7422" w:rsidRPr="00771F6E" w:rsidRDefault="00947948" w:rsidP="005C7422">
      <w:pPr>
        <w:pStyle w:val="Text05"/>
        <w:numPr>
          <w:ilvl w:val="0"/>
          <w:numId w:val="36"/>
        </w:numPr>
        <w:spacing w:line="240" w:lineRule="auto"/>
        <w:rPr>
          <w:color w:val="auto"/>
          <w:sz w:val="24"/>
          <w:szCs w:val="24"/>
        </w:rPr>
      </w:pPr>
      <w:proofErr w:type="gramStart"/>
      <w:r w:rsidRPr="00771F6E">
        <w:rPr>
          <w:i/>
          <w:color w:val="auto"/>
          <w:sz w:val="24"/>
          <w:szCs w:val="24"/>
        </w:rPr>
        <w:t xml:space="preserve">Изолированные кожные </w:t>
      </w:r>
      <w:proofErr w:type="spellStart"/>
      <w:r w:rsidRPr="00771F6E">
        <w:rPr>
          <w:i/>
          <w:color w:val="auto"/>
          <w:sz w:val="24"/>
          <w:szCs w:val="24"/>
        </w:rPr>
        <w:t>васкулиты</w:t>
      </w:r>
      <w:proofErr w:type="spellEnd"/>
      <w:r w:rsidRPr="00771F6E">
        <w:rPr>
          <w:color w:val="auto"/>
          <w:sz w:val="24"/>
          <w:szCs w:val="24"/>
        </w:rPr>
        <w:t xml:space="preserve"> (</w:t>
      </w:r>
      <w:r w:rsidR="0008467A" w:rsidRPr="00771F6E">
        <w:rPr>
          <w:color w:val="auto"/>
          <w:sz w:val="24"/>
          <w:szCs w:val="24"/>
        </w:rPr>
        <w:t>в частности</w:t>
      </w:r>
      <w:r w:rsidRPr="00771F6E">
        <w:rPr>
          <w:color w:val="auto"/>
          <w:sz w:val="24"/>
          <w:szCs w:val="24"/>
        </w:rPr>
        <w:t xml:space="preserve">, </w:t>
      </w:r>
      <w:proofErr w:type="spellStart"/>
      <w:r w:rsidRPr="00771F6E">
        <w:rPr>
          <w:color w:val="auto"/>
          <w:sz w:val="24"/>
          <w:szCs w:val="24"/>
        </w:rPr>
        <w:t>васкулит</w:t>
      </w:r>
      <w:proofErr w:type="spellEnd"/>
      <w:r w:rsidRPr="00771F6E">
        <w:rPr>
          <w:color w:val="auto"/>
          <w:sz w:val="24"/>
          <w:szCs w:val="24"/>
        </w:rPr>
        <w:t xml:space="preserve"> </w:t>
      </w:r>
      <w:proofErr w:type="spellStart"/>
      <w:r w:rsidRPr="00771F6E">
        <w:rPr>
          <w:color w:val="auto"/>
          <w:sz w:val="24"/>
          <w:szCs w:val="24"/>
        </w:rPr>
        <w:t>Шамберга</w:t>
      </w:r>
      <w:proofErr w:type="spellEnd"/>
      <w:r w:rsidR="0008467A" w:rsidRPr="00771F6E">
        <w:rPr>
          <w:color w:val="auto"/>
          <w:sz w:val="24"/>
          <w:szCs w:val="24"/>
        </w:rPr>
        <w:t>)</w:t>
      </w:r>
      <w:r w:rsidRPr="00771F6E">
        <w:rPr>
          <w:color w:val="auto"/>
          <w:sz w:val="24"/>
          <w:szCs w:val="24"/>
        </w:rPr>
        <w:t>.</w:t>
      </w:r>
      <w:proofErr w:type="gramEnd"/>
    </w:p>
    <w:p w:rsidR="00947948" w:rsidRPr="00771F6E" w:rsidRDefault="00947948" w:rsidP="005C7422">
      <w:pPr>
        <w:pStyle w:val="Text05"/>
        <w:numPr>
          <w:ilvl w:val="0"/>
          <w:numId w:val="36"/>
        </w:numPr>
        <w:spacing w:line="240" w:lineRule="auto"/>
        <w:rPr>
          <w:color w:val="auto"/>
          <w:sz w:val="24"/>
          <w:szCs w:val="24"/>
        </w:rPr>
      </w:pPr>
      <w:r w:rsidRPr="00771F6E">
        <w:rPr>
          <w:i/>
          <w:color w:val="auto"/>
          <w:sz w:val="24"/>
          <w:szCs w:val="24"/>
        </w:rPr>
        <w:t>Наследственные заболевания</w:t>
      </w:r>
      <w:r w:rsidRPr="00771F6E">
        <w:rPr>
          <w:color w:val="auto"/>
          <w:sz w:val="24"/>
          <w:szCs w:val="24"/>
        </w:rPr>
        <w:t xml:space="preserve"> (</w:t>
      </w:r>
      <w:r w:rsidR="0008467A" w:rsidRPr="00771F6E">
        <w:rPr>
          <w:color w:val="auto"/>
          <w:sz w:val="24"/>
          <w:szCs w:val="24"/>
        </w:rPr>
        <w:t>в частности</w:t>
      </w:r>
      <w:r w:rsidRPr="00771F6E">
        <w:rPr>
          <w:color w:val="auto"/>
          <w:sz w:val="24"/>
          <w:szCs w:val="24"/>
        </w:rPr>
        <w:t>, болезнь</w:t>
      </w:r>
      <w:proofErr w:type="gramStart"/>
      <w:r w:rsidRPr="00771F6E">
        <w:rPr>
          <w:color w:val="auto"/>
          <w:sz w:val="24"/>
          <w:szCs w:val="24"/>
        </w:rPr>
        <w:t xml:space="preserve"> Ф</w:t>
      </w:r>
      <w:proofErr w:type="gramEnd"/>
      <w:r w:rsidRPr="00771F6E">
        <w:rPr>
          <w:color w:val="auto"/>
          <w:sz w:val="24"/>
          <w:szCs w:val="24"/>
        </w:rPr>
        <w:t xml:space="preserve">абри, наследственная геморрагическая </w:t>
      </w:r>
      <w:proofErr w:type="spellStart"/>
      <w:r w:rsidRPr="00771F6E">
        <w:rPr>
          <w:color w:val="auto"/>
          <w:sz w:val="24"/>
          <w:szCs w:val="24"/>
        </w:rPr>
        <w:t>телеангиэктазия</w:t>
      </w:r>
      <w:proofErr w:type="spellEnd"/>
      <w:r w:rsidRPr="00771F6E">
        <w:rPr>
          <w:color w:val="auto"/>
          <w:sz w:val="24"/>
          <w:szCs w:val="24"/>
        </w:rPr>
        <w:t xml:space="preserve"> </w:t>
      </w:r>
      <w:proofErr w:type="spellStart"/>
      <w:r w:rsidRPr="00771F6E">
        <w:rPr>
          <w:color w:val="auto"/>
          <w:sz w:val="24"/>
          <w:szCs w:val="24"/>
        </w:rPr>
        <w:t>Ослера-Рандю-Вебера</w:t>
      </w:r>
      <w:proofErr w:type="spellEnd"/>
      <w:r w:rsidRPr="00771F6E">
        <w:rPr>
          <w:color w:val="auto"/>
          <w:sz w:val="24"/>
          <w:szCs w:val="24"/>
        </w:rPr>
        <w:t>).</w:t>
      </w:r>
    </w:p>
    <w:p w:rsidR="0091406B" w:rsidRPr="00771F6E" w:rsidRDefault="0091406B" w:rsidP="005C7422">
      <w:pPr>
        <w:pStyle w:val="Text05"/>
        <w:numPr>
          <w:ilvl w:val="0"/>
          <w:numId w:val="36"/>
        </w:numPr>
        <w:spacing w:line="240" w:lineRule="auto"/>
        <w:rPr>
          <w:color w:val="auto"/>
          <w:sz w:val="24"/>
          <w:szCs w:val="24"/>
        </w:rPr>
      </w:pPr>
      <w:r w:rsidRPr="00771F6E">
        <w:rPr>
          <w:i/>
          <w:color w:val="auto"/>
          <w:sz w:val="24"/>
          <w:szCs w:val="24"/>
        </w:rPr>
        <w:t xml:space="preserve">Инфекционные заболевания: </w:t>
      </w:r>
      <w:r w:rsidRPr="00771F6E">
        <w:rPr>
          <w:color w:val="auto"/>
          <w:sz w:val="24"/>
          <w:szCs w:val="24"/>
        </w:rPr>
        <w:t>инфекционный эндокардит, сепсис</w:t>
      </w:r>
      <w:r w:rsidR="00CE3457" w:rsidRPr="00771F6E">
        <w:rPr>
          <w:color w:val="auto"/>
          <w:sz w:val="24"/>
          <w:szCs w:val="24"/>
        </w:rPr>
        <w:t>.</w:t>
      </w:r>
    </w:p>
    <w:p w:rsidR="000822FA" w:rsidRPr="00771F6E" w:rsidRDefault="00CE3457" w:rsidP="00973AFA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Почечные формы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885D36" w:rsidRPr="00771F6E">
        <w:rPr>
          <w:rFonts w:eastAsia="Times New Roman"/>
          <w:color w:val="auto"/>
          <w:sz w:val="24"/>
          <w:szCs w:val="24"/>
          <w:lang w:eastAsia="en-US"/>
        </w:rPr>
        <w:t>ГН при ПШГ</w:t>
      </w:r>
      <w:r w:rsidR="000822FA" w:rsidRPr="00771F6E">
        <w:rPr>
          <w:rFonts w:eastAsia="Times New Roman"/>
          <w:color w:val="auto"/>
          <w:sz w:val="24"/>
          <w:szCs w:val="24"/>
          <w:lang w:eastAsia="en-US"/>
        </w:rPr>
        <w:t xml:space="preserve"> следует дифференцировать с другими </w:t>
      </w:r>
      <w:proofErr w:type="spellStart"/>
      <w:r w:rsidR="000822FA" w:rsidRPr="00771F6E">
        <w:rPr>
          <w:rFonts w:eastAsia="Times New Roman"/>
          <w:color w:val="auto"/>
          <w:sz w:val="24"/>
          <w:szCs w:val="24"/>
          <w:lang w:eastAsia="en-US"/>
        </w:rPr>
        <w:t>мезангиальными</w:t>
      </w:r>
      <w:proofErr w:type="spellEnd"/>
      <w:r w:rsidR="000822FA" w:rsidRPr="00771F6E">
        <w:rPr>
          <w:rFonts w:eastAsia="Times New Roman"/>
          <w:color w:val="auto"/>
          <w:sz w:val="24"/>
          <w:szCs w:val="24"/>
          <w:lang w:eastAsia="en-US"/>
        </w:rPr>
        <w:t xml:space="preserve"> формами ГН и рядом наследственных нефропатий, протекающих с гематурией (синдром </w:t>
      </w:r>
      <w:proofErr w:type="spellStart"/>
      <w:r w:rsidR="000822FA" w:rsidRPr="00771F6E">
        <w:rPr>
          <w:rFonts w:eastAsia="Times New Roman"/>
          <w:color w:val="auto"/>
          <w:sz w:val="24"/>
          <w:szCs w:val="24"/>
          <w:lang w:eastAsia="en-US"/>
        </w:rPr>
        <w:t>Альпорта</w:t>
      </w:r>
      <w:proofErr w:type="spellEnd"/>
      <w:r w:rsidR="000822FA" w:rsidRPr="00771F6E">
        <w:rPr>
          <w:rFonts w:eastAsia="Times New Roman"/>
          <w:color w:val="auto"/>
          <w:sz w:val="24"/>
          <w:szCs w:val="24"/>
          <w:lang w:eastAsia="en-US"/>
        </w:rPr>
        <w:t xml:space="preserve">, болезнь тонких мембран). </w:t>
      </w:r>
    </w:p>
    <w:p w:rsidR="000822FA" w:rsidRPr="00771F6E" w:rsidRDefault="000822FA" w:rsidP="00674E7E">
      <w:pPr>
        <w:pStyle w:val="Text05"/>
        <w:numPr>
          <w:ilvl w:val="0"/>
          <w:numId w:val="0"/>
        </w:numPr>
        <w:spacing w:before="120" w:after="200" w:line="276" w:lineRule="auto"/>
        <w:rPr>
          <w:color w:val="auto"/>
          <w:sz w:val="24"/>
          <w:szCs w:val="24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Клинические проявления IgA-нефропатии при </w:t>
      </w:r>
      <w:r w:rsidR="00287DC8" w:rsidRPr="00771F6E">
        <w:rPr>
          <w:rFonts w:eastAsia="Times New Roman"/>
          <w:color w:val="auto"/>
          <w:sz w:val="24"/>
          <w:szCs w:val="24"/>
          <w:lang w:eastAsia="en-US"/>
        </w:rPr>
        <w:t xml:space="preserve">ПШГ не отличаются от </w:t>
      </w:r>
      <w:proofErr w:type="spellStart"/>
      <w:r w:rsidR="00287DC8" w:rsidRPr="00771F6E">
        <w:rPr>
          <w:rFonts w:eastAsia="Times New Roman"/>
          <w:color w:val="auto"/>
          <w:sz w:val="24"/>
          <w:szCs w:val="24"/>
          <w:lang w:eastAsia="en-US"/>
        </w:rPr>
        <w:t>идиопатического</w:t>
      </w:r>
      <w:proofErr w:type="spellEnd"/>
      <w:r w:rsidR="00287DC8" w:rsidRPr="00771F6E">
        <w:rPr>
          <w:rFonts w:eastAsia="Times New Roman"/>
          <w:color w:val="auto"/>
          <w:sz w:val="24"/>
          <w:szCs w:val="24"/>
          <w:lang w:eastAsia="en-US"/>
        </w:rPr>
        <w:t xml:space="preserve"> варианта заболевания и других ее вторичных форм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, в этой связи </w:t>
      </w:r>
      <w:r w:rsidR="00287DC8" w:rsidRPr="00771F6E">
        <w:rPr>
          <w:rFonts w:eastAsia="Times New Roman"/>
          <w:color w:val="auto"/>
          <w:sz w:val="24"/>
          <w:szCs w:val="24"/>
          <w:lang w:eastAsia="en-US"/>
        </w:rPr>
        <w:t xml:space="preserve">необходимо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исключени</w:t>
      </w:r>
      <w:r w:rsidR="00287DC8" w:rsidRPr="00771F6E">
        <w:rPr>
          <w:rFonts w:eastAsia="Times New Roman"/>
          <w:color w:val="auto"/>
          <w:sz w:val="24"/>
          <w:szCs w:val="24"/>
          <w:lang w:eastAsia="en-US"/>
        </w:rPr>
        <w:t>е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всех возможных вторичных причин </w:t>
      </w:r>
      <w:r w:rsidR="00287DC8" w:rsidRPr="00771F6E">
        <w:rPr>
          <w:rFonts w:eastAsia="Times New Roman"/>
          <w:color w:val="auto"/>
          <w:sz w:val="24"/>
          <w:szCs w:val="24"/>
          <w:lang w:eastAsia="en-US"/>
        </w:rPr>
        <w:t>нефропатии</w:t>
      </w:r>
      <w:r w:rsidR="00674E7E" w:rsidRPr="00771F6E">
        <w:rPr>
          <w:rFonts w:eastAsia="Times New Roman"/>
          <w:color w:val="auto"/>
          <w:sz w:val="24"/>
          <w:szCs w:val="24"/>
          <w:lang w:eastAsia="en-US"/>
        </w:rPr>
        <w:t>.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</w:p>
    <w:p w:rsidR="003160D2" w:rsidRPr="00771F6E" w:rsidRDefault="003E69CC" w:rsidP="003160D2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>3</w:t>
      </w:r>
      <w:r w:rsidR="00FB3F8E"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 xml:space="preserve">. </w:t>
      </w:r>
      <w:r w:rsidR="003160D2"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>Лечение</w:t>
      </w:r>
    </w:p>
    <w:p w:rsidR="003160D2" w:rsidRPr="00771F6E" w:rsidRDefault="003160D2" w:rsidP="00973AFA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Специфического (этиологического) лечения </w:t>
      </w:r>
      <w:r w:rsidR="000054E4" w:rsidRPr="00771F6E">
        <w:rPr>
          <w:rFonts w:eastAsia="Times New Roman"/>
          <w:color w:val="auto"/>
          <w:sz w:val="24"/>
          <w:szCs w:val="24"/>
          <w:lang w:eastAsia="en-US"/>
        </w:rPr>
        <w:t>ПШГ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в настоящее время не существует, основная цель терапии </w:t>
      </w:r>
      <w:r w:rsidR="00BC4B5E" w:rsidRPr="00771F6E">
        <w:rPr>
          <w:rFonts w:eastAsia="Times New Roman"/>
          <w:color w:val="auto"/>
          <w:sz w:val="24"/>
          <w:szCs w:val="24"/>
          <w:lang w:eastAsia="en-US"/>
        </w:rPr>
        <w:t>устран</w:t>
      </w:r>
      <w:r w:rsidR="00454CB0" w:rsidRPr="00771F6E">
        <w:rPr>
          <w:rFonts w:eastAsia="Times New Roman"/>
          <w:color w:val="auto"/>
          <w:sz w:val="24"/>
          <w:szCs w:val="24"/>
          <w:lang w:eastAsia="en-US"/>
        </w:rPr>
        <w:t>ить</w:t>
      </w:r>
      <w:r w:rsidR="000054E4" w:rsidRPr="00771F6E">
        <w:rPr>
          <w:rFonts w:eastAsia="Times New Roman"/>
          <w:color w:val="auto"/>
          <w:sz w:val="24"/>
          <w:szCs w:val="24"/>
          <w:lang w:eastAsia="en-US"/>
        </w:rPr>
        <w:t xml:space="preserve"> симптом</w:t>
      </w:r>
      <w:r w:rsidR="00454CB0" w:rsidRPr="00771F6E">
        <w:rPr>
          <w:rFonts w:eastAsia="Times New Roman"/>
          <w:color w:val="auto"/>
          <w:sz w:val="24"/>
          <w:szCs w:val="24"/>
          <w:lang w:eastAsia="en-US"/>
        </w:rPr>
        <w:t>ы</w:t>
      </w:r>
      <w:r w:rsidR="000054E4" w:rsidRPr="00771F6E">
        <w:rPr>
          <w:rFonts w:eastAsia="Times New Roman"/>
          <w:color w:val="auto"/>
          <w:sz w:val="24"/>
          <w:szCs w:val="24"/>
          <w:lang w:eastAsia="en-US"/>
        </w:rPr>
        <w:t xml:space="preserve"> (</w:t>
      </w:r>
      <w:r w:rsidR="00572999" w:rsidRPr="00771F6E">
        <w:rPr>
          <w:rFonts w:eastAsia="Times New Roman"/>
          <w:color w:val="auto"/>
          <w:sz w:val="24"/>
          <w:szCs w:val="24"/>
          <w:lang w:eastAsia="en-US"/>
        </w:rPr>
        <w:t>артралги</w:t>
      </w:r>
      <w:r w:rsidR="00454CB0" w:rsidRPr="00771F6E">
        <w:rPr>
          <w:rFonts w:eastAsia="Times New Roman"/>
          <w:color w:val="auto"/>
          <w:sz w:val="24"/>
          <w:szCs w:val="24"/>
          <w:lang w:eastAsia="en-US"/>
        </w:rPr>
        <w:t>и</w:t>
      </w:r>
      <w:r w:rsidR="00572999" w:rsidRPr="00771F6E">
        <w:rPr>
          <w:rFonts w:eastAsia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="00572999" w:rsidRPr="00771F6E">
        <w:rPr>
          <w:rFonts w:eastAsia="Times New Roman"/>
          <w:color w:val="auto"/>
          <w:sz w:val="24"/>
          <w:szCs w:val="24"/>
          <w:lang w:eastAsia="en-US"/>
        </w:rPr>
        <w:t>абдоминалги</w:t>
      </w:r>
      <w:r w:rsidR="00454CB0" w:rsidRPr="00771F6E">
        <w:rPr>
          <w:rFonts w:eastAsia="Times New Roman"/>
          <w:color w:val="auto"/>
          <w:sz w:val="24"/>
          <w:szCs w:val="24"/>
          <w:lang w:eastAsia="en-US"/>
        </w:rPr>
        <w:t>и</w:t>
      </w:r>
      <w:proofErr w:type="spellEnd"/>
      <w:r w:rsidR="00287DC8" w:rsidRPr="00771F6E">
        <w:rPr>
          <w:rFonts w:eastAsia="Times New Roman"/>
          <w:color w:val="auto"/>
          <w:sz w:val="24"/>
          <w:szCs w:val="24"/>
          <w:lang w:eastAsia="en-US"/>
        </w:rPr>
        <w:t xml:space="preserve"> и др.</w:t>
      </w:r>
      <w:r w:rsidR="00572999" w:rsidRPr="00771F6E">
        <w:rPr>
          <w:rFonts w:eastAsia="Times New Roman"/>
          <w:color w:val="auto"/>
          <w:sz w:val="24"/>
          <w:szCs w:val="24"/>
          <w:lang w:eastAsia="en-US"/>
        </w:rPr>
        <w:t xml:space="preserve">) и </w:t>
      </w:r>
      <w:r w:rsidR="00454CB0" w:rsidRPr="00771F6E">
        <w:rPr>
          <w:rFonts w:eastAsia="Times New Roman"/>
          <w:color w:val="auto"/>
          <w:sz w:val="24"/>
          <w:szCs w:val="24"/>
          <w:lang w:eastAsia="en-US"/>
        </w:rPr>
        <w:t>предупредить</w:t>
      </w:r>
      <w:r w:rsidR="00572999" w:rsidRPr="00771F6E">
        <w:rPr>
          <w:rFonts w:eastAsia="Times New Roman"/>
          <w:color w:val="auto"/>
          <w:sz w:val="24"/>
          <w:szCs w:val="24"/>
          <w:lang w:eastAsia="en-US"/>
        </w:rPr>
        <w:t xml:space="preserve"> осложнени</w:t>
      </w:r>
      <w:r w:rsidR="00454CB0" w:rsidRPr="00771F6E">
        <w:rPr>
          <w:rFonts w:eastAsia="Times New Roman"/>
          <w:color w:val="auto"/>
          <w:sz w:val="24"/>
          <w:szCs w:val="24"/>
          <w:lang w:eastAsia="en-US"/>
        </w:rPr>
        <w:t>я</w:t>
      </w:r>
      <w:r w:rsidR="00572999" w:rsidRPr="00771F6E">
        <w:rPr>
          <w:rFonts w:eastAsia="Times New Roman"/>
          <w:color w:val="auto"/>
          <w:sz w:val="24"/>
          <w:szCs w:val="24"/>
          <w:lang w:eastAsia="en-US"/>
        </w:rPr>
        <w:t xml:space="preserve">, </w:t>
      </w:r>
      <w:r w:rsidR="000054E4" w:rsidRPr="00771F6E">
        <w:rPr>
          <w:rFonts w:eastAsia="Times New Roman"/>
          <w:color w:val="auto"/>
          <w:sz w:val="24"/>
          <w:szCs w:val="24"/>
          <w:lang w:eastAsia="en-US"/>
        </w:rPr>
        <w:t xml:space="preserve">а при поражении почек –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отсрочить начало заместительной почечной терапии.</w:t>
      </w:r>
    </w:p>
    <w:p w:rsidR="00CE3457" w:rsidRPr="00771F6E" w:rsidRDefault="00CE3457" w:rsidP="00CE3457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Тактика лечения </w:t>
      </w:r>
      <w:proofErr w:type="spellStart"/>
      <w:r w:rsidR="006139A7" w:rsidRPr="00771F6E">
        <w:rPr>
          <w:rFonts w:eastAsia="Times New Roman"/>
          <w:color w:val="auto"/>
          <w:sz w:val="24"/>
          <w:szCs w:val="24"/>
          <w:lang w:eastAsia="en-US"/>
        </w:rPr>
        <w:t>экстраренальных</w:t>
      </w:r>
      <w:proofErr w:type="spellEnd"/>
      <w:r w:rsidR="006139A7"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проявления ПШГ (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кожных высыпаний, суставного синдрома, поражения ЖКТ</w:t>
      </w:r>
      <w:r w:rsidR="006139A7" w:rsidRPr="00771F6E">
        <w:rPr>
          <w:rFonts w:eastAsia="Times New Roman"/>
          <w:color w:val="auto"/>
          <w:sz w:val="24"/>
          <w:szCs w:val="24"/>
          <w:lang w:eastAsia="en-US"/>
        </w:rPr>
        <w:t>)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описана в специализированных руководствах</w:t>
      </w:r>
      <w:r w:rsidR="00BC4B5E" w:rsidRPr="00771F6E">
        <w:rPr>
          <w:rFonts w:eastAsia="Times New Roman"/>
          <w:color w:val="auto"/>
          <w:sz w:val="24"/>
          <w:szCs w:val="24"/>
          <w:lang w:eastAsia="en-US"/>
        </w:rPr>
        <w:t xml:space="preserve"> [</w:t>
      </w:r>
      <w:r w:rsidR="00D44CFA" w:rsidRPr="00771F6E">
        <w:rPr>
          <w:rFonts w:eastAsia="Times New Roman"/>
          <w:color w:val="auto"/>
          <w:sz w:val="24"/>
          <w:szCs w:val="24"/>
          <w:lang w:eastAsia="en-US"/>
        </w:rPr>
        <w:t>8,</w:t>
      </w:r>
      <w:r w:rsidR="00750396" w:rsidRPr="00771F6E">
        <w:rPr>
          <w:rFonts w:eastAsia="Times New Roman"/>
          <w:color w:val="auto"/>
          <w:sz w:val="24"/>
          <w:szCs w:val="24"/>
          <w:lang w:eastAsia="en-US"/>
        </w:rPr>
        <w:t>14</w:t>
      </w:r>
      <w:r w:rsidR="00BC4B5E" w:rsidRPr="00771F6E">
        <w:rPr>
          <w:rFonts w:eastAsia="Times New Roman"/>
          <w:color w:val="auto"/>
          <w:sz w:val="24"/>
          <w:szCs w:val="24"/>
          <w:lang w:eastAsia="en-US"/>
        </w:rPr>
        <w:t>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BC4B5E" w:rsidRPr="00771F6E" w:rsidRDefault="005C7346" w:rsidP="00BC4B5E">
      <w:pPr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b/>
          <w:sz w:val="24"/>
          <w:szCs w:val="24"/>
        </w:rPr>
        <w:t>Лечение ГН при ПШГ</w:t>
      </w:r>
      <w:r w:rsidRPr="00771F6E">
        <w:rPr>
          <w:rFonts w:ascii="Times New Roman" w:hAnsi="Times New Roman"/>
          <w:sz w:val="24"/>
          <w:szCs w:val="24"/>
        </w:rPr>
        <w:t xml:space="preserve"> определяется </w:t>
      </w:r>
      <w:r w:rsidR="00BC4B5E" w:rsidRPr="00771F6E">
        <w:rPr>
          <w:rFonts w:ascii="Times New Roman" w:hAnsi="Times New Roman"/>
          <w:sz w:val="24"/>
          <w:szCs w:val="24"/>
        </w:rPr>
        <w:t>особенност</w:t>
      </w:r>
      <w:r w:rsidRPr="00771F6E">
        <w:rPr>
          <w:rFonts w:ascii="Times New Roman" w:hAnsi="Times New Roman"/>
          <w:sz w:val="24"/>
          <w:szCs w:val="24"/>
        </w:rPr>
        <w:t>ями</w:t>
      </w:r>
      <w:r w:rsidR="00BC4B5E" w:rsidRPr="00771F6E">
        <w:rPr>
          <w:rFonts w:ascii="Times New Roman" w:hAnsi="Times New Roman"/>
          <w:sz w:val="24"/>
          <w:szCs w:val="24"/>
        </w:rPr>
        <w:t xml:space="preserve"> клинической картины</w:t>
      </w:r>
      <w:r w:rsidRPr="00771F6E">
        <w:rPr>
          <w:rFonts w:ascii="Times New Roman" w:hAnsi="Times New Roman"/>
          <w:sz w:val="24"/>
          <w:szCs w:val="24"/>
        </w:rPr>
        <w:t xml:space="preserve"> и</w:t>
      </w:r>
      <w:r w:rsidR="00BC4B5E" w:rsidRPr="00771F6E">
        <w:rPr>
          <w:rFonts w:ascii="Times New Roman" w:hAnsi="Times New Roman"/>
          <w:sz w:val="24"/>
          <w:szCs w:val="24"/>
        </w:rPr>
        <w:t xml:space="preserve"> включает патогенетическую, симптоматическую терапию и лечение осложнений.</w:t>
      </w:r>
    </w:p>
    <w:p w:rsidR="00BC4B5E" w:rsidRPr="00771F6E" w:rsidRDefault="00BC4B5E" w:rsidP="00BC4B5E">
      <w:pPr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b/>
          <w:sz w:val="24"/>
          <w:szCs w:val="24"/>
        </w:rPr>
        <w:t xml:space="preserve">Показания к госпитализации: </w:t>
      </w:r>
      <w:r w:rsidRPr="00771F6E">
        <w:rPr>
          <w:rFonts w:ascii="Times New Roman" w:hAnsi="Times New Roman"/>
          <w:sz w:val="24"/>
          <w:szCs w:val="24"/>
        </w:rPr>
        <w:t>дебют заболевания с нарушением функции почек и/или развитием нефротического синдрома.</w:t>
      </w:r>
    </w:p>
    <w:p w:rsidR="007F13C1" w:rsidRPr="00771F6E" w:rsidRDefault="007F13C1" w:rsidP="00BC4B5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F6E">
        <w:rPr>
          <w:rFonts w:ascii="Times New Roman" w:hAnsi="Times New Roman"/>
          <w:b/>
          <w:sz w:val="24"/>
          <w:szCs w:val="24"/>
        </w:rPr>
        <w:t>Немедикаментозные</w:t>
      </w:r>
      <w:proofErr w:type="spellEnd"/>
      <w:r w:rsidRPr="00771F6E">
        <w:rPr>
          <w:rFonts w:ascii="Times New Roman" w:hAnsi="Times New Roman"/>
          <w:b/>
          <w:sz w:val="24"/>
          <w:szCs w:val="24"/>
        </w:rPr>
        <w:t xml:space="preserve"> методы</w:t>
      </w:r>
      <w:r w:rsidRPr="00771F6E">
        <w:rPr>
          <w:rFonts w:ascii="Times New Roman" w:hAnsi="Times New Roman"/>
          <w:sz w:val="24"/>
          <w:szCs w:val="24"/>
        </w:rPr>
        <w:t xml:space="preserve">: </w:t>
      </w:r>
    </w:p>
    <w:p w:rsidR="00BC4B5E" w:rsidRPr="00771F6E" w:rsidRDefault="00BC4B5E" w:rsidP="00BC4B5E">
      <w:pPr>
        <w:pStyle w:val="a3"/>
        <w:numPr>
          <w:ilvl w:val="0"/>
          <w:numId w:val="3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>Режим – постельный при вы</w:t>
      </w:r>
      <w:r w:rsidR="007F13C1" w:rsidRPr="00771F6E">
        <w:rPr>
          <w:rFonts w:ascii="Times New Roman" w:hAnsi="Times New Roman"/>
          <w:sz w:val="24"/>
          <w:szCs w:val="24"/>
        </w:rPr>
        <w:t xml:space="preserve">раженных отеках, </w:t>
      </w:r>
      <w:proofErr w:type="spellStart"/>
      <w:r w:rsidR="007F13C1" w:rsidRPr="00771F6E">
        <w:rPr>
          <w:rFonts w:ascii="Times New Roman" w:hAnsi="Times New Roman"/>
          <w:sz w:val="24"/>
          <w:szCs w:val="24"/>
        </w:rPr>
        <w:t>макрогематурии</w:t>
      </w:r>
      <w:proofErr w:type="spellEnd"/>
      <w:r w:rsidRPr="00771F6E">
        <w:rPr>
          <w:rFonts w:ascii="Times New Roman" w:hAnsi="Times New Roman"/>
          <w:sz w:val="24"/>
          <w:szCs w:val="24"/>
        </w:rPr>
        <w:t>. При улучшении состояния режим постепенно расширяют.</w:t>
      </w:r>
    </w:p>
    <w:p w:rsidR="00BC4B5E" w:rsidRPr="00771F6E" w:rsidRDefault="00BC4B5E" w:rsidP="00BC4B5E">
      <w:pPr>
        <w:pStyle w:val="a3"/>
        <w:numPr>
          <w:ilvl w:val="0"/>
          <w:numId w:val="3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>Диета:</w:t>
      </w:r>
    </w:p>
    <w:p w:rsidR="00BC4B5E" w:rsidRPr="00771F6E" w:rsidRDefault="00BC4B5E" w:rsidP="00BC4B5E">
      <w:pPr>
        <w:pStyle w:val="a3"/>
        <w:numPr>
          <w:ilvl w:val="1"/>
          <w:numId w:val="3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 xml:space="preserve"> с ограничением потребления соли (до 1-2 г/</w:t>
      </w:r>
      <w:proofErr w:type="spellStart"/>
      <w:r w:rsidRPr="00771F6E">
        <w:rPr>
          <w:rFonts w:ascii="Times New Roman" w:hAnsi="Times New Roman"/>
          <w:sz w:val="24"/>
          <w:szCs w:val="24"/>
        </w:rPr>
        <w:t>сут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) и жидкости в острый период болезни, особенно при быстром нарастании отеков, </w:t>
      </w:r>
      <w:proofErr w:type="spellStart"/>
      <w:r w:rsidRPr="00771F6E">
        <w:rPr>
          <w:rFonts w:ascii="Times New Roman" w:hAnsi="Times New Roman"/>
          <w:sz w:val="24"/>
          <w:szCs w:val="24"/>
        </w:rPr>
        <w:t>олигурии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 и АГ. Объем жидкости рассчитывают, исходя из диуреза за предыдущий день с учетом </w:t>
      </w:r>
      <w:proofErr w:type="spellStart"/>
      <w:r w:rsidRPr="00771F6E">
        <w:rPr>
          <w:rFonts w:ascii="Times New Roman" w:hAnsi="Times New Roman"/>
          <w:sz w:val="24"/>
          <w:szCs w:val="24"/>
        </w:rPr>
        <w:t>внепочечных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 потерь, прием жидкости не должен превышать диуреза более чем на 200 мл.</w:t>
      </w:r>
    </w:p>
    <w:p w:rsidR="00BC4B5E" w:rsidRPr="00771F6E" w:rsidRDefault="00BC4B5E" w:rsidP="00BC4B5E">
      <w:pPr>
        <w:pStyle w:val="a3"/>
        <w:numPr>
          <w:ilvl w:val="1"/>
          <w:numId w:val="3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lastRenderedPageBreak/>
        <w:t>с ограничением белка до 0,5 г/кг/</w:t>
      </w:r>
      <w:proofErr w:type="spellStart"/>
      <w:r w:rsidRPr="00771F6E">
        <w:rPr>
          <w:rFonts w:ascii="Times New Roman" w:hAnsi="Times New Roman"/>
          <w:sz w:val="24"/>
          <w:szCs w:val="24"/>
        </w:rPr>
        <w:t>сут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 при снижении функции почек менее 60 мл/мин (до нормализации СКФ и уровня креатинина в крови, но не длительнее 2-4 недель).</w:t>
      </w:r>
    </w:p>
    <w:p w:rsidR="007F13C1" w:rsidRPr="00771F6E" w:rsidRDefault="007F13C1" w:rsidP="00BC4B5E">
      <w:pPr>
        <w:pStyle w:val="a3"/>
        <w:numPr>
          <w:ilvl w:val="1"/>
          <w:numId w:val="3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1F6E">
        <w:rPr>
          <w:rFonts w:ascii="Times New Roman" w:hAnsi="Times New Roman"/>
          <w:sz w:val="24"/>
          <w:szCs w:val="24"/>
        </w:rPr>
        <w:t>Гипоаллергенная</w:t>
      </w:r>
      <w:proofErr w:type="spellEnd"/>
      <w:r w:rsidRPr="00771F6E">
        <w:rPr>
          <w:rFonts w:ascii="Times New Roman" w:hAnsi="Times New Roman"/>
          <w:sz w:val="24"/>
          <w:szCs w:val="24"/>
        </w:rPr>
        <w:t xml:space="preserve"> диета с исключением продуктов, содержащих облигатные аллергены (таких, как шоколад, кофе, какао, цитрусовые — лимоны, апельсины, грейпфрут, мандарины; куриное мясо, чипсы, газированные цветные напитки, орешки, сухарики</w:t>
      </w:r>
      <w:r w:rsidR="00890B17" w:rsidRPr="00771F6E">
        <w:rPr>
          <w:rFonts w:ascii="Times New Roman" w:hAnsi="Times New Roman"/>
          <w:sz w:val="24"/>
          <w:szCs w:val="24"/>
        </w:rPr>
        <w:t xml:space="preserve"> </w:t>
      </w:r>
      <w:r w:rsidRPr="00771F6E">
        <w:rPr>
          <w:rFonts w:ascii="Times New Roman" w:hAnsi="Times New Roman"/>
          <w:sz w:val="24"/>
          <w:szCs w:val="24"/>
        </w:rPr>
        <w:t>солёные, все красные овощи и фрукты).</w:t>
      </w:r>
      <w:proofErr w:type="gramEnd"/>
    </w:p>
    <w:p w:rsidR="007F13C1" w:rsidRPr="00771F6E" w:rsidRDefault="006139A7" w:rsidP="00BC4B5E">
      <w:pPr>
        <w:pStyle w:val="a3"/>
        <w:numPr>
          <w:ilvl w:val="1"/>
          <w:numId w:val="38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 xml:space="preserve">При выраженных болях в животе назначают </w:t>
      </w:r>
      <w:r w:rsidR="00E84394" w:rsidRPr="00771F6E">
        <w:rPr>
          <w:rFonts w:ascii="Times New Roman" w:hAnsi="Times New Roman"/>
          <w:sz w:val="24"/>
          <w:szCs w:val="24"/>
        </w:rPr>
        <w:t>стол №</w:t>
      </w:r>
      <w:r w:rsidR="00D44CFA" w:rsidRPr="00771F6E">
        <w:rPr>
          <w:rFonts w:ascii="Times New Roman" w:hAnsi="Times New Roman"/>
          <w:sz w:val="24"/>
          <w:szCs w:val="24"/>
        </w:rPr>
        <w:t xml:space="preserve"> 1</w:t>
      </w:r>
      <w:r w:rsidR="00E84394" w:rsidRPr="00771F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84394" w:rsidRPr="00771F6E">
        <w:rPr>
          <w:rFonts w:ascii="Times New Roman" w:hAnsi="Times New Roman"/>
          <w:sz w:val="24"/>
          <w:szCs w:val="24"/>
        </w:rPr>
        <w:t>противоязвеннную</w:t>
      </w:r>
      <w:proofErr w:type="spellEnd"/>
      <w:r w:rsidR="00E84394" w:rsidRPr="00771F6E">
        <w:rPr>
          <w:rFonts w:ascii="Times New Roman" w:hAnsi="Times New Roman"/>
          <w:sz w:val="24"/>
          <w:szCs w:val="24"/>
        </w:rPr>
        <w:t xml:space="preserve"> диету).</w:t>
      </w:r>
    </w:p>
    <w:p w:rsidR="00556C07" w:rsidRPr="00771F6E" w:rsidRDefault="004259DE" w:rsidP="00556C07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>Отбор больных в группы терапии осуществляется в соответствии с выявленным риском прогрессирования почечной недостаточности (табл. 1)</w:t>
      </w:r>
      <w:r w:rsidR="00D44CFA" w:rsidRPr="00771F6E">
        <w:rPr>
          <w:rFonts w:eastAsia="Times New Roman"/>
          <w:color w:val="auto"/>
          <w:sz w:val="24"/>
          <w:szCs w:val="24"/>
          <w:lang w:eastAsia="en-US"/>
        </w:rPr>
        <w:t>:</w:t>
      </w:r>
    </w:p>
    <w:p w:rsidR="00D44CFA" w:rsidRPr="00771F6E" w:rsidRDefault="00D44CFA" w:rsidP="00D44CFA">
      <w:pPr>
        <w:pStyle w:val="Text05"/>
        <w:numPr>
          <w:ilvl w:val="0"/>
          <w:numId w:val="18"/>
        </w:numPr>
        <w:spacing w:before="0" w:after="0" w:line="240" w:lineRule="auto"/>
        <w:ind w:left="714" w:hanging="357"/>
        <w:rPr>
          <w:color w:val="auto"/>
          <w:sz w:val="24"/>
          <w:szCs w:val="24"/>
        </w:rPr>
      </w:pPr>
      <w:r w:rsidRPr="00771F6E">
        <w:rPr>
          <w:color w:val="auto"/>
          <w:sz w:val="24"/>
          <w:szCs w:val="24"/>
        </w:rPr>
        <w:t xml:space="preserve">Больным с изолированной </w:t>
      </w:r>
      <w:proofErr w:type="spellStart"/>
      <w:r w:rsidRPr="00771F6E">
        <w:rPr>
          <w:color w:val="auto"/>
          <w:sz w:val="24"/>
          <w:szCs w:val="24"/>
        </w:rPr>
        <w:t>микрогематурией</w:t>
      </w:r>
      <w:proofErr w:type="spellEnd"/>
      <w:r w:rsidRPr="00771F6E">
        <w:rPr>
          <w:color w:val="auto"/>
          <w:sz w:val="24"/>
          <w:szCs w:val="24"/>
        </w:rPr>
        <w:t>, а также с сочетанием гематурии с минимальной ПУ (&lt;0,5 г/</w:t>
      </w:r>
      <w:proofErr w:type="spellStart"/>
      <w:r w:rsidRPr="00771F6E">
        <w:rPr>
          <w:color w:val="auto"/>
          <w:sz w:val="24"/>
          <w:szCs w:val="24"/>
        </w:rPr>
        <w:t>сут</w:t>
      </w:r>
      <w:proofErr w:type="spellEnd"/>
      <w:r w:rsidRPr="00771F6E">
        <w:rPr>
          <w:color w:val="auto"/>
          <w:sz w:val="24"/>
          <w:szCs w:val="24"/>
        </w:rPr>
        <w:t>), нормальной СКФ и отсутствием АГ, лечение не показано. Эти пациенты должны находиться под наблюдением нефролога и раз в 6-12 месяцев проходить обследование (оценка ПУ, уровня креатинина/СКФ, АД) для своевременного выявления показаний к началу терапии.</w:t>
      </w:r>
    </w:p>
    <w:p w:rsidR="00D44CFA" w:rsidRPr="00771F6E" w:rsidRDefault="00D44CFA" w:rsidP="00D44CFA">
      <w:pPr>
        <w:pStyle w:val="Text05"/>
        <w:numPr>
          <w:ilvl w:val="0"/>
          <w:numId w:val="18"/>
        </w:numPr>
        <w:spacing w:before="0" w:after="0" w:line="240" w:lineRule="auto"/>
        <w:ind w:left="714" w:hanging="357"/>
        <w:rPr>
          <w:color w:val="auto"/>
          <w:sz w:val="24"/>
          <w:szCs w:val="24"/>
        </w:rPr>
      </w:pPr>
      <w:r w:rsidRPr="00771F6E">
        <w:rPr>
          <w:color w:val="auto"/>
          <w:sz w:val="24"/>
          <w:szCs w:val="24"/>
        </w:rPr>
        <w:t xml:space="preserve">При </w:t>
      </w:r>
      <w:proofErr w:type="spellStart"/>
      <w:r w:rsidRPr="00771F6E">
        <w:rPr>
          <w:color w:val="auto"/>
          <w:sz w:val="24"/>
          <w:szCs w:val="24"/>
        </w:rPr>
        <w:t>персистировании</w:t>
      </w:r>
      <w:proofErr w:type="spellEnd"/>
      <w:r w:rsidRPr="00771F6E">
        <w:rPr>
          <w:color w:val="auto"/>
          <w:sz w:val="24"/>
          <w:szCs w:val="24"/>
        </w:rPr>
        <w:t xml:space="preserve"> ПУ &gt; 0,5-1 г/</w:t>
      </w:r>
      <w:proofErr w:type="spellStart"/>
      <w:r w:rsidRPr="00771F6E">
        <w:rPr>
          <w:color w:val="auto"/>
          <w:sz w:val="24"/>
          <w:szCs w:val="24"/>
        </w:rPr>
        <w:t>сут</w:t>
      </w:r>
      <w:proofErr w:type="spellEnd"/>
      <w:r w:rsidRPr="00771F6E">
        <w:rPr>
          <w:color w:val="auto"/>
          <w:sz w:val="24"/>
          <w:szCs w:val="24"/>
        </w:rPr>
        <w:t xml:space="preserve"> показана </w:t>
      </w:r>
      <w:proofErr w:type="spellStart"/>
      <w:r w:rsidRPr="00771F6E">
        <w:rPr>
          <w:color w:val="auto"/>
          <w:sz w:val="24"/>
          <w:szCs w:val="24"/>
        </w:rPr>
        <w:t>нефропротективная</w:t>
      </w:r>
      <w:proofErr w:type="spellEnd"/>
      <w:r w:rsidRPr="00771F6E">
        <w:rPr>
          <w:color w:val="auto"/>
          <w:sz w:val="24"/>
          <w:szCs w:val="24"/>
        </w:rPr>
        <w:t xml:space="preserve"> терапия </w:t>
      </w:r>
      <w:proofErr w:type="spellStart"/>
      <w:r w:rsidRPr="00771F6E">
        <w:rPr>
          <w:color w:val="auto"/>
          <w:sz w:val="24"/>
          <w:szCs w:val="24"/>
        </w:rPr>
        <w:t>иАПФ</w:t>
      </w:r>
      <w:proofErr w:type="spellEnd"/>
      <w:r w:rsidRPr="00771F6E">
        <w:rPr>
          <w:color w:val="auto"/>
          <w:sz w:val="24"/>
          <w:szCs w:val="24"/>
        </w:rPr>
        <w:t>/БРА.</w:t>
      </w:r>
    </w:p>
    <w:p w:rsidR="00D44CFA" w:rsidRPr="00771F6E" w:rsidRDefault="00D44CFA" w:rsidP="00D44CFA">
      <w:pPr>
        <w:pStyle w:val="Text05"/>
        <w:numPr>
          <w:ilvl w:val="0"/>
          <w:numId w:val="18"/>
        </w:numPr>
        <w:spacing w:before="0" w:after="0" w:line="240" w:lineRule="auto"/>
        <w:ind w:left="714" w:hanging="357"/>
        <w:rPr>
          <w:color w:val="auto"/>
          <w:sz w:val="24"/>
          <w:szCs w:val="24"/>
        </w:rPr>
      </w:pPr>
      <w:r w:rsidRPr="00771F6E">
        <w:rPr>
          <w:color w:val="auto"/>
          <w:sz w:val="24"/>
          <w:szCs w:val="24"/>
        </w:rPr>
        <w:t xml:space="preserve">При </w:t>
      </w:r>
      <w:proofErr w:type="spellStart"/>
      <w:r w:rsidRPr="00771F6E">
        <w:rPr>
          <w:color w:val="auto"/>
          <w:sz w:val="24"/>
          <w:szCs w:val="24"/>
        </w:rPr>
        <w:t>остронефритическом</w:t>
      </w:r>
      <w:proofErr w:type="spellEnd"/>
      <w:r w:rsidRPr="00771F6E">
        <w:rPr>
          <w:color w:val="auto"/>
          <w:sz w:val="24"/>
          <w:szCs w:val="24"/>
        </w:rPr>
        <w:t xml:space="preserve"> синдроме и/или ПУ нефротического уровня или нефротическом синдроме, в также при </w:t>
      </w:r>
      <w:proofErr w:type="spellStart"/>
      <w:r w:rsidRPr="00771F6E">
        <w:rPr>
          <w:color w:val="auto"/>
          <w:sz w:val="24"/>
          <w:szCs w:val="24"/>
        </w:rPr>
        <w:t>персистировании</w:t>
      </w:r>
      <w:proofErr w:type="spellEnd"/>
      <w:r w:rsidRPr="00771F6E">
        <w:rPr>
          <w:color w:val="auto"/>
          <w:sz w:val="24"/>
          <w:szCs w:val="24"/>
        </w:rPr>
        <w:t xml:space="preserve"> ПУ &gt; 0,5-1 г/</w:t>
      </w:r>
      <w:proofErr w:type="spellStart"/>
      <w:r w:rsidRPr="00771F6E">
        <w:rPr>
          <w:color w:val="auto"/>
          <w:sz w:val="24"/>
          <w:szCs w:val="24"/>
        </w:rPr>
        <w:t>сут</w:t>
      </w:r>
      <w:proofErr w:type="spellEnd"/>
      <w:r w:rsidRPr="00771F6E">
        <w:rPr>
          <w:color w:val="auto"/>
          <w:sz w:val="24"/>
          <w:szCs w:val="24"/>
        </w:rPr>
        <w:t xml:space="preserve"> (несмотря на терапию </w:t>
      </w:r>
      <w:proofErr w:type="spellStart"/>
      <w:r w:rsidRPr="00771F6E">
        <w:rPr>
          <w:color w:val="auto"/>
          <w:sz w:val="24"/>
          <w:szCs w:val="24"/>
        </w:rPr>
        <w:t>иАПФ</w:t>
      </w:r>
      <w:proofErr w:type="spellEnd"/>
      <w:r w:rsidRPr="00771F6E">
        <w:rPr>
          <w:color w:val="auto"/>
          <w:sz w:val="24"/>
          <w:szCs w:val="24"/>
        </w:rPr>
        <w:t>/БРА) и СКФ &gt; 50 мл/мин/1,73 м</w:t>
      </w:r>
      <w:r w:rsidRPr="00771F6E">
        <w:rPr>
          <w:color w:val="auto"/>
          <w:sz w:val="24"/>
          <w:szCs w:val="24"/>
          <w:vertAlign w:val="superscript"/>
        </w:rPr>
        <w:t xml:space="preserve">2 </w:t>
      </w:r>
      <w:r w:rsidRPr="00771F6E">
        <w:rPr>
          <w:color w:val="auto"/>
          <w:sz w:val="24"/>
          <w:szCs w:val="24"/>
        </w:rPr>
        <w:t xml:space="preserve">показана </w:t>
      </w:r>
      <w:proofErr w:type="spellStart"/>
      <w:r w:rsidRPr="00771F6E">
        <w:rPr>
          <w:color w:val="auto"/>
          <w:sz w:val="24"/>
          <w:szCs w:val="24"/>
        </w:rPr>
        <w:t>иммуносупрессивная</w:t>
      </w:r>
      <w:proofErr w:type="spellEnd"/>
      <w:r w:rsidRPr="00771F6E">
        <w:rPr>
          <w:color w:val="auto"/>
          <w:sz w:val="24"/>
          <w:szCs w:val="24"/>
        </w:rPr>
        <w:t xml:space="preserve"> терапия (</w:t>
      </w:r>
      <w:proofErr w:type="gramStart"/>
      <w:r w:rsidRPr="00771F6E">
        <w:rPr>
          <w:color w:val="auto"/>
          <w:sz w:val="24"/>
          <w:szCs w:val="24"/>
        </w:rPr>
        <w:t>ИСТ</w:t>
      </w:r>
      <w:proofErr w:type="gramEnd"/>
      <w:r w:rsidRPr="00771F6E">
        <w:rPr>
          <w:color w:val="auto"/>
          <w:sz w:val="24"/>
          <w:szCs w:val="24"/>
        </w:rPr>
        <w:t>).</w:t>
      </w:r>
    </w:p>
    <w:p w:rsidR="00D44CFA" w:rsidRPr="00771F6E" w:rsidRDefault="00D44CFA" w:rsidP="00D44CFA">
      <w:pPr>
        <w:pStyle w:val="Text05"/>
        <w:numPr>
          <w:ilvl w:val="0"/>
          <w:numId w:val="18"/>
        </w:numPr>
        <w:spacing w:before="0" w:after="0" w:line="240" w:lineRule="auto"/>
        <w:ind w:left="714" w:hanging="357"/>
        <w:rPr>
          <w:color w:val="auto"/>
          <w:sz w:val="24"/>
          <w:szCs w:val="24"/>
        </w:rPr>
      </w:pPr>
      <w:r w:rsidRPr="00771F6E">
        <w:rPr>
          <w:color w:val="auto"/>
          <w:sz w:val="24"/>
          <w:szCs w:val="24"/>
        </w:rPr>
        <w:t xml:space="preserve">При быстропрогрессирующем ухудшении функции почек, наличии более 50% </w:t>
      </w:r>
      <w:proofErr w:type="spellStart"/>
      <w:r w:rsidRPr="00771F6E">
        <w:rPr>
          <w:color w:val="auto"/>
          <w:sz w:val="24"/>
          <w:szCs w:val="24"/>
        </w:rPr>
        <w:t>полулуний</w:t>
      </w:r>
      <w:proofErr w:type="spellEnd"/>
      <w:r w:rsidRPr="00771F6E">
        <w:rPr>
          <w:color w:val="auto"/>
          <w:sz w:val="24"/>
          <w:szCs w:val="24"/>
        </w:rPr>
        <w:t xml:space="preserve"> в </w:t>
      </w:r>
      <w:proofErr w:type="spellStart"/>
      <w:r w:rsidRPr="00771F6E">
        <w:rPr>
          <w:color w:val="auto"/>
          <w:sz w:val="24"/>
          <w:szCs w:val="24"/>
        </w:rPr>
        <w:t>биоптате</w:t>
      </w:r>
      <w:proofErr w:type="spellEnd"/>
      <w:r w:rsidRPr="00771F6E">
        <w:rPr>
          <w:color w:val="auto"/>
          <w:sz w:val="24"/>
          <w:szCs w:val="24"/>
        </w:rPr>
        <w:t xml:space="preserve"> почки показана активная </w:t>
      </w:r>
      <w:proofErr w:type="gramStart"/>
      <w:r w:rsidRPr="00771F6E">
        <w:rPr>
          <w:color w:val="auto"/>
          <w:sz w:val="24"/>
          <w:szCs w:val="24"/>
        </w:rPr>
        <w:t>ИСТ</w:t>
      </w:r>
      <w:proofErr w:type="gramEnd"/>
      <w:r w:rsidRPr="00771F6E">
        <w:rPr>
          <w:color w:val="auto"/>
          <w:sz w:val="24"/>
          <w:szCs w:val="24"/>
        </w:rPr>
        <w:t xml:space="preserve"> в сочетании с </w:t>
      </w:r>
      <w:proofErr w:type="spellStart"/>
      <w:r w:rsidRPr="00771F6E">
        <w:rPr>
          <w:color w:val="auto"/>
          <w:sz w:val="24"/>
          <w:szCs w:val="24"/>
        </w:rPr>
        <w:t>плазмаферезом</w:t>
      </w:r>
      <w:proofErr w:type="spellEnd"/>
      <w:r w:rsidRPr="00771F6E">
        <w:rPr>
          <w:color w:val="auto"/>
          <w:sz w:val="24"/>
          <w:szCs w:val="24"/>
        </w:rPr>
        <w:t>.</w:t>
      </w:r>
    </w:p>
    <w:p w:rsidR="002C7ADC" w:rsidRPr="00771F6E" w:rsidRDefault="002C7ADC" w:rsidP="00D44CFA">
      <w:pPr>
        <w:pStyle w:val="Text05"/>
        <w:numPr>
          <w:ilvl w:val="0"/>
          <w:numId w:val="0"/>
        </w:numPr>
        <w:spacing w:before="240" w:after="0" w:line="276" w:lineRule="auto"/>
        <w:ind w:right="357"/>
        <w:jc w:val="left"/>
        <w:rPr>
          <w:rFonts w:eastAsia="Times New Roman"/>
          <w:b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Таблица 1.</w:t>
      </w:r>
      <w:r w:rsidR="007F39B5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</w:t>
      </w:r>
      <w:r w:rsidR="00E51AF1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Факторы риска </w:t>
      </w:r>
      <w:r w:rsidR="007F39B5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прогрессирования ГН-ПШГ</w:t>
      </w:r>
      <w:r w:rsidR="00750396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[15,16]</w:t>
      </w:r>
      <w:r w:rsidR="007F39B5" w:rsidRPr="00771F6E">
        <w:rPr>
          <w:rFonts w:eastAsia="Times New Roman"/>
          <w:b/>
          <w:color w:val="auto"/>
          <w:sz w:val="24"/>
          <w:szCs w:val="24"/>
          <w:lang w:eastAsia="en-US"/>
        </w:rPr>
        <w:t>.</w:t>
      </w:r>
    </w:p>
    <w:tbl>
      <w:tblPr>
        <w:tblStyle w:val="a4"/>
        <w:tblW w:w="0" w:type="auto"/>
        <w:tblInd w:w="108" w:type="dxa"/>
        <w:tblLook w:val="01E0"/>
      </w:tblPr>
      <w:tblGrid>
        <w:gridCol w:w="9463"/>
      </w:tblGrid>
      <w:tr w:rsidR="002C7ADC" w:rsidRPr="00771F6E" w:rsidTr="00674E7E">
        <w:tc>
          <w:tcPr>
            <w:tcW w:w="9463" w:type="dxa"/>
          </w:tcPr>
          <w:p w:rsidR="002C7ADC" w:rsidRPr="00771F6E" w:rsidRDefault="002C7ADC" w:rsidP="00E51AF1">
            <w:pPr>
              <w:pStyle w:val="Text05"/>
              <w:numPr>
                <w:ilvl w:val="0"/>
                <w:numId w:val="0"/>
              </w:numPr>
              <w:spacing w:before="0" w:after="0" w:line="276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>Клинико-лабораторные</w:t>
            </w:r>
            <w:r w:rsidR="00E51AF1" w:rsidRPr="00771F6E">
              <w:rPr>
                <w:rFonts w:eastAsia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  <w:t>:</w:t>
            </w: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7ADC" w:rsidRPr="00771F6E" w:rsidTr="00674E7E">
        <w:tc>
          <w:tcPr>
            <w:tcW w:w="9463" w:type="dxa"/>
          </w:tcPr>
          <w:p w:rsidR="002C7ADC" w:rsidRPr="00771F6E" w:rsidRDefault="002C7ADC" w:rsidP="00AF1947">
            <w:pPr>
              <w:pStyle w:val="Text05"/>
              <w:numPr>
                <w:ilvl w:val="0"/>
                <w:numId w:val="31"/>
              </w:numPr>
              <w:spacing w:before="0" w:after="0" w:line="276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Сочетание нефротического и </w:t>
            </w:r>
            <w:proofErr w:type="spellStart"/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ост</w:t>
            </w:r>
            <w:r w:rsidR="00890B17"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р</w:t>
            </w: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онефритического</w:t>
            </w:r>
            <w:proofErr w:type="spellEnd"/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 синдромов в дебюте заболевания </w:t>
            </w:r>
          </w:p>
          <w:p w:rsidR="002C7ADC" w:rsidRPr="00771F6E" w:rsidRDefault="002C7ADC" w:rsidP="00AF1947">
            <w:pPr>
              <w:pStyle w:val="Text05"/>
              <w:numPr>
                <w:ilvl w:val="0"/>
                <w:numId w:val="31"/>
              </w:numPr>
              <w:spacing w:before="0" w:after="0" w:line="276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Нефротический синдром в дебюте заболевания</w:t>
            </w:r>
          </w:p>
          <w:p w:rsidR="002C7ADC" w:rsidRPr="00771F6E" w:rsidRDefault="002C7ADC" w:rsidP="00AF1947">
            <w:pPr>
              <w:pStyle w:val="Text05"/>
              <w:numPr>
                <w:ilvl w:val="0"/>
                <w:numId w:val="31"/>
              </w:numPr>
              <w:spacing w:before="0" w:after="0" w:line="276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Протеинурия более 1 г/</w:t>
            </w:r>
            <w:proofErr w:type="spellStart"/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сут</w:t>
            </w:r>
            <w:proofErr w:type="spellEnd"/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2C7ADC" w:rsidRPr="00771F6E" w:rsidRDefault="002C7ADC" w:rsidP="00AF1947">
            <w:pPr>
              <w:pStyle w:val="Text05"/>
              <w:numPr>
                <w:ilvl w:val="0"/>
                <w:numId w:val="31"/>
              </w:numPr>
              <w:spacing w:before="0" w:after="0" w:line="276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Снижение СКФ или повышение уровня креатинина в крови в дебюте или в течение заболевания.</w:t>
            </w:r>
          </w:p>
          <w:p w:rsidR="002C7ADC" w:rsidRPr="00771F6E" w:rsidRDefault="002C7ADC" w:rsidP="00AF1947">
            <w:pPr>
              <w:pStyle w:val="Text05"/>
              <w:numPr>
                <w:ilvl w:val="0"/>
                <w:numId w:val="31"/>
              </w:numPr>
              <w:spacing w:before="0" w:after="0" w:line="276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Артериальная гипертензия в дебюте и в течение заболевания</w:t>
            </w:r>
          </w:p>
        </w:tc>
      </w:tr>
      <w:tr w:rsidR="002C7ADC" w:rsidRPr="00771F6E" w:rsidTr="00674E7E">
        <w:tc>
          <w:tcPr>
            <w:tcW w:w="9463" w:type="dxa"/>
          </w:tcPr>
          <w:p w:rsidR="002C7ADC" w:rsidRPr="00771F6E" w:rsidRDefault="002C7ADC" w:rsidP="00E51AF1">
            <w:pPr>
              <w:pStyle w:val="Text05"/>
              <w:numPr>
                <w:ilvl w:val="0"/>
                <w:numId w:val="0"/>
              </w:numPr>
              <w:spacing w:before="0" w:after="0" w:line="276" w:lineRule="auto"/>
              <w:rPr>
                <w:rFonts w:eastAsia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>Морфологические</w:t>
            </w:r>
            <w:r w:rsidR="00E51AF1" w:rsidRPr="00771F6E">
              <w:rPr>
                <w:rFonts w:eastAsia="Times New Roman"/>
                <w:b/>
                <w:bCs/>
                <w:i/>
                <w:color w:val="auto"/>
                <w:sz w:val="24"/>
                <w:szCs w:val="24"/>
                <w:lang w:val="en-US" w:eastAsia="en-US"/>
              </w:rPr>
              <w:t>:</w:t>
            </w:r>
            <w:r w:rsidRPr="00771F6E">
              <w:rPr>
                <w:rFonts w:eastAsia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7ADC" w:rsidRPr="00771F6E" w:rsidTr="00890B17">
        <w:trPr>
          <w:trHeight w:val="403"/>
        </w:trPr>
        <w:tc>
          <w:tcPr>
            <w:tcW w:w="9463" w:type="dxa"/>
          </w:tcPr>
          <w:p w:rsidR="002C7ADC" w:rsidRPr="00771F6E" w:rsidRDefault="007F39B5" w:rsidP="00890B17">
            <w:pPr>
              <w:pStyle w:val="Text05"/>
              <w:numPr>
                <w:ilvl w:val="0"/>
                <w:numId w:val="39"/>
              </w:numPr>
              <w:spacing w:before="120" w:after="200" w:line="276" w:lineRule="auto"/>
              <w:rPr>
                <w:rFonts w:eastAsia="Times New Roman"/>
                <w:color w:val="auto"/>
                <w:sz w:val="24"/>
                <w:szCs w:val="24"/>
                <w:lang w:eastAsia="en-US"/>
              </w:rPr>
            </w:pP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полулуний</w:t>
            </w:r>
            <w:proofErr w:type="spellEnd"/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 более чем </w:t>
            </w:r>
            <w:r w:rsidR="00890B17"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 xml:space="preserve">в </w:t>
            </w:r>
            <w:r w:rsidRPr="00771F6E"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50% почечных клубочков</w:t>
            </w:r>
          </w:p>
        </w:tc>
      </w:tr>
    </w:tbl>
    <w:p w:rsidR="00890B17" w:rsidRPr="00771F6E" w:rsidRDefault="00890B17" w:rsidP="002C7ADC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olor w:val="auto"/>
          <w:sz w:val="24"/>
          <w:szCs w:val="24"/>
          <w:lang w:eastAsia="en-US"/>
        </w:rPr>
      </w:pPr>
    </w:p>
    <w:p w:rsidR="00AA4167" w:rsidRPr="00771F6E" w:rsidRDefault="00AA4167" w:rsidP="002C7ADC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Медикаментозная терапия</w:t>
      </w:r>
    </w:p>
    <w:p w:rsidR="00DF0A80" w:rsidRPr="00771F6E" w:rsidRDefault="00DF0A80" w:rsidP="002C7ADC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 xml:space="preserve">3.1. </w:t>
      </w:r>
      <w:proofErr w:type="spellStart"/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Нефропротективная</w:t>
      </w:r>
      <w:proofErr w:type="spellEnd"/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 xml:space="preserve"> терапия</w:t>
      </w:r>
    </w:p>
    <w:p w:rsidR="00DF0A80" w:rsidRPr="00771F6E" w:rsidRDefault="00DF0A80" w:rsidP="00DF0A80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Рекомендация.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Взрослым пациентам с ГН при ПШГ предлагается лечение ингибиторами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ангиотензинпревращающего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фермента (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иАПФ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) или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блокаторами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рецепторов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ангиотензина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II (БРА) при ПУ от 0,5-1 г/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сут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. (</w:t>
      </w:r>
      <w:r w:rsidR="005C7346" w:rsidRPr="00771F6E">
        <w:rPr>
          <w:rFonts w:eastAsia="Times New Roman"/>
          <w:b/>
          <w:i/>
          <w:color w:val="auto"/>
          <w:sz w:val="24"/>
          <w:szCs w:val="24"/>
          <w:lang w:eastAsia="en-US"/>
        </w:rPr>
        <w:t>нет степени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)</w:t>
      </w:r>
    </w:p>
    <w:p w:rsidR="00DE7639" w:rsidRPr="00771F6E" w:rsidRDefault="00DF0A80" w:rsidP="00DF0A80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lastRenderedPageBreak/>
        <w:t xml:space="preserve">Доказательная база по применению препаратов, блокирующих РААС, у взрослых </w:t>
      </w:r>
      <w:r w:rsidR="00674E7E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с ГН-ПШГ 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отсутствует. В исследованиях у детей показана эффективность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иАПФ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в отношении снижения протеинурии и предупреждения падения СКФ </w:t>
      </w:r>
      <w:r w:rsidR="00750396" w:rsidRPr="00771F6E">
        <w:rPr>
          <w:rFonts w:eastAsia="Times New Roman"/>
          <w:bCs/>
          <w:color w:val="auto"/>
          <w:sz w:val="24"/>
          <w:szCs w:val="24"/>
          <w:lang w:eastAsia="en-US"/>
        </w:rPr>
        <w:t>[17]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.</w:t>
      </w:r>
    </w:p>
    <w:p w:rsidR="005C7346" w:rsidRPr="00771F6E" w:rsidRDefault="005C7346" w:rsidP="005C7346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 xml:space="preserve">3.2. </w:t>
      </w:r>
      <w:proofErr w:type="spellStart"/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Иммуносупрессивная</w:t>
      </w:r>
      <w:proofErr w:type="spellEnd"/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 xml:space="preserve"> терапия </w:t>
      </w:r>
    </w:p>
    <w:p w:rsidR="005C7346" w:rsidRPr="00771F6E" w:rsidRDefault="005C7346" w:rsidP="005C7346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Рекомендация 3.2.1.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Взрослым пациентам с ПУ &gt;1 г/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сут</w:t>
      </w:r>
      <w:proofErr w:type="spellEnd"/>
      <w:r w:rsidR="00674E7E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, </w:t>
      </w:r>
      <w:proofErr w:type="spellStart"/>
      <w:r w:rsidR="00674E7E" w:rsidRPr="00771F6E">
        <w:rPr>
          <w:rFonts w:eastAsia="Times New Roman"/>
          <w:b/>
          <w:color w:val="auto"/>
          <w:sz w:val="24"/>
          <w:szCs w:val="24"/>
          <w:lang w:eastAsia="en-US"/>
        </w:rPr>
        <w:t>персистирующей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несмотря на применение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иАПФ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/БРА</w:t>
      </w:r>
      <w:r w:rsidR="00674E7E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, 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и СКФ &gt; 50 мл/мин на 1,73 м</w:t>
      </w:r>
      <w:r w:rsidRPr="00771F6E">
        <w:rPr>
          <w:rFonts w:eastAsia="Times New Roman"/>
          <w:b/>
          <w:color w:val="auto"/>
          <w:sz w:val="24"/>
          <w:szCs w:val="24"/>
          <w:vertAlign w:val="superscript"/>
          <w:lang w:eastAsia="en-US"/>
        </w:rPr>
        <w:t>2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, предлагается проведение 6-месячного курса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монотерапии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кортикостероидами</w:t>
      </w:r>
      <w:proofErr w:type="gram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.</w:t>
      </w:r>
      <w:proofErr w:type="gram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(</w:t>
      </w:r>
      <w:proofErr w:type="gram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н</w:t>
      </w:r>
      <w:proofErr w:type="gram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ет степени)</w:t>
      </w:r>
    </w:p>
    <w:p w:rsidR="00827627" w:rsidRPr="00771F6E" w:rsidRDefault="009F75B5" w:rsidP="00827627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Cs/>
          <w:color w:val="auto"/>
          <w:sz w:val="24"/>
          <w:szCs w:val="24"/>
          <w:highlight w:val="cyan"/>
          <w:lang w:eastAsia="en-US"/>
        </w:rPr>
      </w:pP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Присоединение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иммуносупрес</w:t>
      </w:r>
      <w:r w:rsidR="00745D7E" w:rsidRPr="00771F6E">
        <w:rPr>
          <w:rFonts w:eastAsia="Times New Roman"/>
          <w:bCs/>
          <w:color w:val="auto"/>
          <w:sz w:val="24"/>
          <w:szCs w:val="24"/>
          <w:lang w:eastAsia="en-US"/>
        </w:rPr>
        <w:t>с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ивной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терапии может быть оправдано при отсутствии улучшения на фоне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нефропротективной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терапии или при высоком риске прогрессирования</w:t>
      </w:r>
      <w:r w:rsidR="00827627" w:rsidRPr="00771F6E">
        <w:rPr>
          <w:rFonts w:eastAsia="Times New Roman"/>
          <w:bCs/>
          <w:color w:val="auto"/>
          <w:sz w:val="24"/>
          <w:szCs w:val="24"/>
          <w:lang w:eastAsia="en-US"/>
        </w:rPr>
        <w:t>,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827627" w:rsidRPr="00771F6E">
        <w:rPr>
          <w:rFonts w:eastAsia="Times New Roman"/>
          <w:bCs/>
          <w:color w:val="auto"/>
          <w:sz w:val="24"/>
          <w:szCs w:val="24"/>
          <w:lang w:eastAsia="en-US"/>
        </w:rPr>
        <w:t>о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днако оптимальный срок начала </w:t>
      </w:r>
      <w:proofErr w:type="gram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ИСТ</w:t>
      </w:r>
      <w:proofErr w:type="gram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не установлен.</w:t>
      </w:r>
      <w:r w:rsidR="00827627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674E7E" w:rsidRPr="00771F6E">
        <w:rPr>
          <w:rFonts w:eastAsia="Times New Roman"/>
          <w:bCs/>
          <w:color w:val="auto"/>
          <w:sz w:val="24"/>
          <w:szCs w:val="24"/>
          <w:lang w:eastAsia="en-US"/>
        </w:rPr>
        <w:t>Существует мнение, что п</w:t>
      </w:r>
      <w:r w:rsidR="00AA4167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ри ГН-ПШГ лечение </w:t>
      </w:r>
      <w:proofErr w:type="spellStart"/>
      <w:r w:rsidR="00AA4167" w:rsidRPr="00771F6E">
        <w:rPr>
          <w:rFonts w:eastAsia="Times New Roman"/>
          <w:bCs/>
          <w:color w:val="auto"/>
          <w:sz w:val="24"/>
          <w:szCs w:val="24"/>
          <w:lang w:eastAsia="en-US"/>
        </w:rPr>
        <w:t>глюкокортикостероидами</w:t>
      </w:r>
      <w:proofErr w:type="spellEnd"/>
      <w:r w:rsidR="00AA4167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следует начинать в более ранние сроки, чем при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>идиопатической</w:t>
      </w:r>
      <w:proofErr w:type="spellEnd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AA4167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AA4167" w:rsidRPr="00771F6E">
        <w:rPr>
          <w:rFonts w:eastAsia="Times New Roman"/>
          <w:color w:val="auto"/>
          <w:sz w:val="24"/>
          <w:szCs w:val="24"/>
          <w:lang w:eastAsia="en-US"/>
        </w:rPr>
        <w:t xml:space="preserve">IgA-нефропатии </w:t>
      </w:r>
      <w:r w:rsidR="00AA4167" w:rsidRPr="00771F6E">
        <w:rPr>
          <w:rFonts w:eastAsia="Times New Roman"/>
          <w:bCs/>
          <w:color w:val="auto"/>
          <w:sz w:val="24"/>
          <w:szCs w:val="24"/>
          <w:lang w:eastAsia="en-US"/>
        </w:rPr>
        <w:t>[</w:t>
      </w:r>
      <w:r w:rsidR="00750396" w:rsidRPr="00771F6E">
        <w:rPr>
          <w:rFonts w:eastAsia="Times New Roman"/>
          <w:bCs/>
          <w:color w:val="auto"/>
          <w:sz w:val="24"/>
          <w:szCs w:val="24"/>
          <w:lang w:eastAsia="en-US"/>
        </w:rPr>
        <w:t>18</w:t>
      </w:r>
      <w:r w:rsidR="00AA4167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]. </w:t>
      </w:r>
    </w:p>
    <w:p w:rsidR="00AA4167" w:rsidRPr="00771F6E" w:rsidRDefault="00AA4167" w:rsidP="00AA4167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РКИ, </w:t>
      </w:r>
      <w:proofErr w:type="gram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посвященные</w:t>
      </w:r>
      <w:proofErr w:type="gram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лечени</w:t>
      </w:r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>ю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ГН-ПШГ у взрослых и детей, малочисленны. Не доказаны преимущества </w:t>
      </w:r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сочетания </w:t>
      </w:r>
      <w:proofErr w:type="spellStart"/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>преднизолона</w:t>
      </w:r>
      <w:proofErr w:type="spellEnd"/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и </w:t>
      </w:r>
      <w:proofErr w:type="spellStart"/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>циклофосфамида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при лечении 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ГН-ПШГ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у взрослых, за исключением его прогрессирующих форм</w:t>
      </w:r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750396" w:rsidRPr="00771F6E">
        <w:rPr>
          <w:rFonts w:eastAsia="Times New Roman"/>
          <w:bCs/>
          <w:color w:val="auto"/>
          <w:sz w:val="24"/>
          <w:szCs w:val="24"/>
          <w:lang w:eastAsia="en-US"/>
        </w:rPr>
        <w:t>[19]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. В ряде наблюдательных исследований у детей была продемонстрирована эффективность терапии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глюкокортикостероидами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в сочетании с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азатиоприном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F53D31" w:rsidRPr="00771F6E">
        <w:rPr>
          <w:rFonts w:eastAsia="Times New Roman"/>
          <w:bCs/>
          <w:color w:val="auto"/>
          <w:sz w:val="24"/>
          <w:szCs w:val="24"/>
          <w:lang w:eastAsia="en-US"/>
        </w:rPr>
        <w:t>[18]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,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циклофосфамидом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F53D31" w:rsidRPr="00771F6E">
        <w:rPr>
          <w:rFonts w:eastAsia="Times New Roman"/>
          <w:bCs/>
          <w:color w:val="auto"/>
          <w:sz w:val="24"/>
          <w:szCs w:val="24"/>
          <w:lang w:eastAsia="en-US"/>
        </w:rPr>
        <w:t>[20]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,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циклоспорином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4F5C29" w:rsidRPr="00771F6E">
        <w:rPr>
          <w:rFonts w:eastAsia="Times New Roman"/>
          <w:bCs/>
          <w:color w:val="auto"/>
          <w:sz w:val="24"/>
          <w:szCs w:val="24"/>
          <w:lang w:eastAsia="en-US"/>
        </w:rPr>
        <w:t>[21,22]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и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плазмаобмена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4F5C29" w:rsidRPr="00771F6E">
        <w:rPr>
          <w:rFonts w:eastAsia="Times New Roman"/>
          <w:bCs/>
          <w:color w:val="auto"/>
          <w:sz w:val="24"/>
          <w:szCs w:val="24"/>
          <w:lang w:eastAsia="en-US"/>
        </w:rPr>
        <w:t>[23,24]</w:t>
      </w: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.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К настоящему времени 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имеется 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только одно РКИ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>, демонстрирующее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высокий терапевтический потенциал </w:t>
      </w:r>
      <w:proofErr w:type="spellStart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>микофенлата</w:t>
      </w:r>
      <w:proofErr w:type="spellEnd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>мофетила</w:t>
      </w:r>
      <w:proofErr w:type="spellEnd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(ММФ</w:t>
      </w:r>
      <w:proofErr w:type="gramStart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>)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М</w:t>
      </w:r>
      <w:proofErr w:type="gram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МФ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, по сравнению с </w:t>
      </w:r>
      <w:proofErr w:type="spellStart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>азатиоприном</w:t>
      </w:r>
      <w:proofErr w:type="spellEnd"/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, 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при выраженной протеинурии у детей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с ГН-ПШГ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="004F5C29" w:rsidRPr="00771F6E">
        <w:rPr>
          <w:rFonts w:eastAsia="Times New Roman"/>
          <w:bCs/>
          <w:color w:val="auto"/>
          <w:sz w:val="24"/>
          <w:szCs w:val="24"/>
          <w:lang w:eastAsia="en-US"/>
        </w:rPr>
        <w:t>[25]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.</w:t>
      </w:r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Имеются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лишь отдельные описания случаев успешного применения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ритуксимаба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у детей и взрослых </w:t>
      </w:r>
      <w:r w:rsidR="004F5C29" w:rsidRPr="00771F6E">
        <w:rPr>
          <w:rFonts w:eastAsia="Times New Roman"/>
          <w:bCs/>
          <w:color w:val="auto"/>
          <w:sz w:val="24"/>
          <w:szCs w:val="24"/>
          <w:lang w:eastAsia="en-US"/>
        </w:rPr>
        <w:t>[26,27]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,  доказательная база преимущества данного вида терапии </w:t>
      </w:r>
      <w:r w:rsidR="0004771F" w:rsidRPr="00771F6E">
        <w:rPr>
          <w:rFonts w:eastAsia="Times New Roman"/>
          <w:bCs/>
          <w:color w:val="auto"/>
          <w:sz w:val="24"/>
          <w:szCs w:val="24"/>
          <w:lang w:eastAsia="en-US"/>
        </w:rPr>
        <w:t>ГН-ПШГ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отсутствует.</w:t>
      </w:r>
    </w:p>
    <w:p w:rsidR="0004771F" w:rsidRPr="00771F6E" w:rsidRDefault="0004771F" w:rsidP="00AA4167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Таким образом, отсутствие достаточного количества доказательств, полученных в РКИ, не позволяет рекоменд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овать </w:t>
      </w:r>
      <w:r w:rsidR="00405BAD" w:rsidRPr="00771F6E">
        <w:rPr>
          <w:rFonts w:eastAsia="Times New Roman"/>
          <w:bCs/>
          <w:color w:val="auto"/>
          <w:sz w:val="24"/>
          <w:szCs w:val="24"/>
          <w:lang w:eastAsia="en-US"/>
        </w:rPr>
        <w:t>предпочтительные</w:t>
      </w:r>
      <w:r w:rsidR="00256B5A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схем</w:t>
      </w:r>
      <w:r w:rsidR="00405BAD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ы 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терапии</w:t>
      </w:r>
      <w:r w:rsidR="00405BAD"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данной категории больных ГН-ПШГ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.</w:t>
      </w:r>
    </w:p>
    <w:p w:rsidR="00FD3BBF" w:rsidRPr="00771F6E" w:rsidRDefault="00FD3BBF" w:rsidP="00FD3BBF">
      <w:pPr>
        <w:pStyle w:val="Text05"/>
        <w:numPr>
          <w:ilvl w:val="0"/>
          <w:numId w:val="0"/>
        </w:numPr>
        <w:spacing w:after="120" w:line="240" w:lineRule="auto"/>
        <w:rPr>
          <w:b/>
          <w:caps/>
          <w:color w:val="auto"/>
          <w:sz w:val="24"/>
          <w:szCs w:val="24"/>
        </w:rPr>
      </w:pPr>
      <w:r w:rsidRPr="00771F6E">
        <w:rPr>
          <w:b/>
          <w:bCs/>
          <w:color w:val="auto"/>
          <w:sz w:val="24"/>
          <w:szCs w:val="24"/>
        </w:rPr>
        <w:t xml:space="preserve">3.3. Лечение </w:t>
      </w:r>
      <w:r w:rsidRPr="00771F6E">
        <w:rPr>
          <w:b/>
          <w:color w:val="auto"/>
          <w:sz w:val="24"/>
          <w:szCs w:val="24"/>
        </w:rPr>
        <w:t>ГН-ПШГ</w:t>
      </w:r>
      <w:r w:rsidRPr="00771F6E">
        <w:rPr>
          <w:i/>
          <w:caps/>
          <w:color w:val="auto"/>
          <w:sz w:val="24"/>
          <w:szCs w:val="24"/>
        </w:rPr>
        <w:t xml:space="preserve"> </w:t>
      </w:r>
      <w:r w:rsidR="00405BAD" w:rsidRPr="00771F6E">
        <w:rPr>
          <w:b/>
          <w:color w:val="auto"/>
          <w:sz w:val="24"/>
          <w:szCs w:val="24"/>
        </w:rPr>
        <w:t xml:space="preserve">с </w:t>
      </w:r>
      <w:proofErr w:type="spellStart"/>
      <w:r w:rsidR="00405BAD" w:rsidRPr="00771F6E">
        <w:rPr>
          <w:b/>
          <w:color w:val="auto"/>
          <w:sz w:val="24"/>
          <w:szCs w:val="24"/>
        </w:rPr>
        <w:t>полулуниями</w:t>
      </w:r>
      <w:proofErr w:type="spellEnd"/>
    </w:p>
    <w:p w:rsidR="00283D98" w:rsidRPr="00771F6E" w:rsidRDefault="00FD3BBF" w:rsidP="00FD3BBF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olor w:val="auto"/>
          <w:sz w:val="24"/>
          <w:szCs w:val="24"/>
          <w:lang w:eastAsia="en-US"/>
        </w:rPr>
        <w:t>Рекомендация.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</w:t>
      </w:r>
      <w:r w:rsidR="0004771F" w:rsidRPr="00771F6E">
        <w:rPr>
          <w:rFonts w:eastAsia="Times New Roman"/>
          <w:b/>
          <w:color w:val="auto"/>
          <w:sz w:val="24"/>
          <w:szCs w:val="24"/>
          <w:lang w:eastAsia="en-US"/>
        </w:rPr>
        <w:t>Взрослым пациентам с полулунным ГН-ПШГ</w:t>
      </w:r>
      <w:r w:rsidR="00405BAD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, </w:t>
      </w:r>
      <w:r w:rsidR="0004771F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нефротическим синдромом и/или быстрым ухудшением функции почек предлагается 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лечение </w:t>
      </w:r>
      <w:proofErr w:type="spellStart"/>
      <w:r w:rsidR="0004771F" w:rsidRPr="00771F6E">
        <w:rPr>
          <w:rFonts w:eastAsia="Times New Roman"/>
          <w:b/>
          <w:color w:val="auto"/>
          <w:sz w:val="24"/>
          <w:szCs w:val="24"/>
          <w:lang w:eastAsia="en-US"/>
        </w:rPr>
        <w:t>глюко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кортикостероидами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и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циклофосфамидом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по схеме, аналогичной схеме лечения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АНЦА-васкулитов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. (2D)</w:t>
      </w:r>
      <w:r w:rsidR="006A6AEA"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</w:t>
      </w:r>
    </w:p>
    <w:p w:rsidR="00FD3BBF" w:rsidRPr="00771F6E" w:rsidRDefault="006A6AEA" w:rsidP="00FD3BBF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Поскольку </w:t>
      </w:r>
      <w:r w:rsidR="00405BAD" w:rsidRPr="00771F6E">
        <w:rPr>
          <w:rFonts w:eastAsia="Times New Roman"/>
          <w:color w:val="auto"/>
          <w:sz w:val="24"/>
          <w:szCs w:val="24"/>
          <w:lang w:eastAsia="en-US"/>
        </w:rPr>
        <w:t xml:space="preserve">отсутствуют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РКИ, посвященные лечению взрослых и детей с полулунным ГН-ПШГ и быстрым прогрессированием почечной недостаточности, мы предлагаем </w:t>
      </w:r>
      <w:r w:rsidR="00405BAD" w:rsidRPr="00771F6E">
        <w:rPr>
          <w:rFonts w:eastAsia="Times New Roman"/>
          <w:color w:val="auto"/>
          <w:sz w:val="24"/>
          <w:szCs w:val="24"/>
          <w:lang w:eastAsia="en-US"/>
        </w:rPr>
        <w:t xml:space="preserve">для терапии данной категории больных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использовать</w:t>
      </w:r>
      <w:r w:rsidR="00405BAD"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схемы,</w:t>
      </w:r>
      <w:r w:rsidR="00E66B2F"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405BAD" w:rsidRPr="00771F6E">
        <w:rPr>
          <w:rFonts w:eastAsia="Times New Roman"/>
          <w:color w:val="auto"/>
          <w:sz w:val="24"/>
          <w:szCs w:val="24"/>
          <w:lang w:eastAsia="en-US"/>
        </w:rPr>
        <w:t xml:space="preserve">рекомендованные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при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АНЦА-васкулитах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FD3BBF" w:rsidRPr="00771F6E" w:rsidRDefault="00FD3BBF" w:rsidP="00FD3BBF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Рекомендация. Не рекомендуется использовать </w:t>
      </w:r>
      <w:proofErr w:type="spellStart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>глюкокортикостероиды</w:t>
      </w:r>
      <w:proofErr w:type="spellEnd"/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для пред</w:t>
      </w:r>
      <w:r w:rsidR="00405BAD" w:rsidRPr="00771F6E">
        <w:rPr>
          <w:rFonts w:eastAsia="Times New Roman"/>
          <w:b/>
          <w:color w:val="auto"/>
          <w:sz w:val="24"/>
          <w:szCs w:val="24"/>
          <w:lang w:eastAsia="en-US"/>
        </w:rPr>
        <w:t>упреждения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 развития ГН-ПШГ (</w:t>
      </w:r>
      <w:r w:rsidRPr="00771F6E">
        <w:rPr>
          <w:rFonts w:eastAsia="Times New Roman"/>
          <w:b/>
          <w:i/>
          <w:color w:val="auto"/>
          <w:sz w:val="24"/>
          <w:szCs w:val="24"/>
          <w:lang w:eastAsia="en-US"/>
        </w:rPr>
        <w:t>нет степени</w:t>
      </w:r>
      <w:r w:rsidRPr="00771F6E">
        <w:rPr>
          <w:rFonts w:eastAsia="Times New Roman"/>
          <w:b/>
          <w:color w:val="auto"/>
          <w:sz w:val="24"/>
          <w:szCs w:val="24"/>
          <w:lang w:eastAsia="en-US"/>
        </w:rPr>
        <w:t xml:space="preserve">). </w:t>
      </w:r>
    </w:p>
    <w:p w:rsidR="006107F3" w:rsidRPr="00771F6E" w:rsidRDefault="00FD3BBF" w:rsidP="005C7346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По данным нескольких РКИ, </w:t>
      </w:r>
      <w:proofErr w:type="spellStart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глюкокортикостероиды</w:t>
      </w:r>
      <w:proofErr w:type="spellEnd"/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 xml:space="preserve"> не предупреждают риск развития поражения почек при ПШГ </w:t>
      </w:r>
      <w:r w:rsidR="004F5C29" w:rsidRPr="00771F6E">
        <w:rPr>
          <w:rFonts w:eastAsia="Times New Roman"/>
          <w:bCs/>
          <w:color w:val="auto"/>
          <w:sz w:val="24"/>
          <w:szCs w:val="24"/>
          <w:lang w:eastAsia="en-US"/>
        </w:rPr>
        <w:t>[28,29]</w:t>
      </w:r>
      <w:r w:rsidRPr="00771F6E">
        <w:rPr>
          <w:rFonts w:eastAsia="Times New Roman"/>
          <w:bCs/>
          <w:color w:val="auto"/>
          <w:sz w:val="24"/>
          <w:szCs w:val="24"/>
          <w:lang w:eastAsia="en-US"/>
        </w:rPr>
        <w:t>. Доказательная база для взрослых отсутствует.</w:t>
      </w:r>
    </w:p>
    <w:p w:rsidR="000E5FA1" w:rsidRPr="00771F6E" w:rsidRDefault="00A2041D" w:rsidP="000E5FA1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iCs/>
          <w:color w:val="auto"/>
          <w:sz w:val="24"/>
          <w:szCs w:val="24"/>
          <w:lang w:eastAsia="en-US"/>
        </w:rPr>
        <w:lastRenderedPageBreak/>
        <w:t>Устранение очагов инфекции</w:t>
      </w:r>
    </w:p>
    <w:p w:rsidR="00556C07" w:rsidRPr="00771F6E" w:rsidRDefault="00556C07" w:rsidP="000E5FA1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highlight w:val="cyan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При четкой связи рецидивов ГН-ПШГ с обострением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хроинческих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инфекций целесообразна санация очагов инфекции, провоцирующих обострение заболевания. Некоторые авторы рекомендуют выполнение </w:t>
      </w:r>
      <w:proofErr w:type="spellStart"/>
      <w:r w:rsidRPr="00771F6E">
        <w:rPr>
          <w:rFonts w:eastAsia="Times New Roman"/>
          <w:color w:val="auto"/>
          <w:sz w:val="24"/>
          <w:szCs w:val="24"/>
          <w:lang w:eastAsia="en-US"/>
        </w:rPr>
        <w:t>тонзиллэктомии</w:t>
      </w:r>
      <w:proofErr w:type="spell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при развитии ГН-ПШГ, однако убедительные доказательст</w:t>
      </w:r>
      <w:r w:rsidR="00405BAD" w:rsidRPr="00771F6E">
        <w:rPr>
          <w:rFonts w:eastAsia="Times New Roman"/>
          <w:color w:val="auto"/>
          <w:sz w:val="24"/>
          <w:szCs w:val="24"/>
          <w:lang w:eastAsia="en-US"/>
        </w:rPr>
        <w:t>в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а </w:t>
      </w:r>
      <w:r w:rsidR="00405BAD" w:rsidRPr="00771F6E">
        <w:rPr>
          <w:rFonts w:eastAsia="Times New Roman"/>
          <w:color w:val="auto"/>
          <w:sz w:val="24"/>
          <w:szCs w:val="24"/>
          <w:lang w:eastAsia="en-US"/>
        </w:rPr>
        <w:t xml:space="preserve">такой тактики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отсутствуют.</w:t>
      </w:r>
    </w:p>
    <w:p w:rsidR="002C7ADC" w:rsidRPr="00771F6E" w:rsidRDefault="00E51AF1" w:rsidP="000E5FA1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i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iCs/>
          <w:color w:val="auto"/>
          <w:sz w:val="24"/>
          <w:szCs w:val="24"/>
          <w:lang w:eastAsia="en-US"/>
        </w:rPr>
        <w:t xml:space="preserve">Применение </w:t>
      </w:r>
      <w:proofErr w:type="spellStart"/>
      <w:r w:rsidRPr="00771F6E">
        <w:rPr>
          <w:rFonts w:eastAsia="Times New Roman"/>
          <w:b/>
          <w:bCs/>
          <w:iCs/>
          <w:color w:val="auto"/>
          <w:sz w:val="24"/>
          <w:szCs w:val="24"/>
          <w:lang w:eastAsia="en-US"/>
        </w:rPr>
        <w:t>дезагрегантов</w:t>
      </w:r>
      <w:proofErr w:type="spellEnd"/>
      <w:r w:rsidRPr="00771F6E">
        <w:rPr>
          <w:rFonts w:eastAsia="Times New Roman"/>
          <w:b/>
          <w:bCs/>
          <w:iCs/>
          <w:color w:val="auto"/>
          <w:sz w:val="24"/>
          <w:szCs w:val="24"/>
          <w:lang w:eastAsia="en-US"/>
        </w:rPr>
        <w:t>, антикоагулянтов</w:t>
      </w:r>
    </w:p>
    <w:p w:rsidR="003F02BF" w:rsidRPr="00771F6E" w:rsidRDefault="002C7ADC" w:rsidP="000E5FA1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iC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 xml:space="preserve">В настоящее время </w:t>
      </w:r>
      <w:proofErr w:type="spellStart"/>
      <w:r w:rsidR="004F3DFC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>дез</w:t>
      </w:r>
      <w:r w:rsidR="003F02BF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>агрегант</w:t>
      </w:r>
      <w:r w:rsidR="00491AE8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>ы</w:t>
      </w:r>
      <w:proofErr w:type="spellEnd"/>
      <w:r w:rsidR="00E66B2F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 xml:space="preserve"> и</w:t>
      </w:r>
      <w:r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 xml:space="preserve"> антикоагулянт</w:t>
      </w:r>
      <w:r w:rsidR="00491AE8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>ы применяются</w:t>
      </w:r>
      <w:r w:rsidR="00E51AF1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>, главным образом,</w:t>
      </w:r>
      <w:r w:rsidR="00491AE8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 xml:space="preserve"> в составе комплексной терапии при тяжелых формах ГН-ПШГ</w:t>
      </w:r>
      <w:r w:rsidR="00E51AF1" w:rsidRPr="00771F6E">
        <w:rPr>
          <w:rFonts w:eastAsia="Times New Roman"/>
          <w:bCs/>
          <w:iCs/>
          <w:color w:val="auto"/>
          <w:sz w:val="24"/>
          <w:szCs w:val="24"/>
          <w:lang w:eastAsia="en-US"/>
        </w:rPr>
        <w:t>, их эффективность при других формах ГН-ПШГ не доказана.</w:t>
      </w:r>
    </w:p>
    <w:p w:rsidR="00491AE8" w:rsidRPr="00771F6E" w:rsidRDefault="003B03DB" w:rsidP="000E5FA1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 xml:space="preserve">4. </w:t>
      </w:r>
      <w:r w:rsidR="00A2041D" w:rsidRPr="00771F6E">
        <w:rPr>
          <w:rFonts w:eastAsia="Times New Roman"/>
          <w:b/>
          <w:bCs/>
          <w:caps/>
          <w:color w:val="auto"/>
          <w:sz w:val="24"/>
          <w:szCs w:val="24"/>
          <w:lang w:eastAsia="en-US"/>
        </w:rPr>
        <w:t>Прогноз</w:t>
      </w:r>
    </w:p>
    <w:p w:rsidR="00F73526" w:rsidRPr="00771F6E" w:rsidRDefault="00F73526" w:rsidP="00F73526">
      <w:pPr>
        <w:pStyle w:val="Text05"/>
        <w:spacing w:before="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>Несмотря на то, что в</w:t>
      </w:r>
      <w:r w:rsidR="00306B58" w:rsidRPr="00771F6E">
        <w:rPr>
          <w:rFonts w:eastAsia="Times New Roman"/>
          <w:color w:val="auto"/>
          <w:sz w:val="24"/>
          <w:szCs w:val="24"/>
          <w:lang w:eastAsia="en-US"/>
        </w:rPr>
        <w:t xml:space="preserve"> течение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первого года болезни течение ГН-ПШГ представляется доброкачественным, отдаленный прогноз оказывается менее благоприятным. Риск прогрессирования </w:t>
      </w:r>
      <w:r w:rsidR="00E51AF1" w:rsidRPr="00771F6E">
        <w:rPr>
          <w:rFonts w:eastAsia="Times New Roman"/>
          <w:color w:val="auto"/>
          <w:sz w:val="24"/>
          <w:szCs w:val="24"/>
          <w:lang w:eastAsia="en-US"/>
        </w:rPr>
        <w:t xml:space="preserve">ГН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с развитием почечной недостаточности, у детей составля</w:t>
      </w:r>
      <w:r w:rsidR="001618C2" w:rsidRPr="00771F6E">
        <w:rPr>
          <w:rFonts w:eastAsia="Times New Roman"/>
          <w:color w:val="auto"/>
          <w:sz w:val="24"/>
          <w:szCs w:val="24"/>
          <w:lang w:eastAsia="en-US"/>
        </w:rPr>
        <w:t xml:space="preserve">ет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от 5% </w:t>
      </w:r>
      <w:r w:rsidR="004116C6" w:rsidRPr="00771F6E">
        <w:rPr>
          <w:rFonts w:eastAsia="Times New Roman"/>
          <w:color w:val="auto"/>
          <w:sz w:val="24"/>
          <w:szCs w:val="24"/>
          <w:lang w:eastAsia="en-US"/>
        </w:rPr>
        <w:t>[</w:t>
      </w:r>
      <w:r w:rsidR="004F5C29" w:rsidRPr="00771F6E">
        <w:rPr>
          <w:rFonts w:eastAsia="Times New Roman"/>
          <w:color w:val="auto"/>
          <w:sz w:val="24"/>
          <w:szCs w:val="24"/>
          <w:lang w:eastAsia="en-US"/>
        </w:rPr>
        <w:t>30,31</w:t>
      </w:r>
      <w:r w:rsidR="004116C6" w:rsidRPr="00771F6E">
        <w:rPr>
          <w:rFonts w:eastAsia="Times New Roman"/>
          <w:color w:val="auto"/>
          <w:sz w:val="24"/>
          <w:szCs w:val="24"/>
          <w:lang w:eastAsia="en-US"/>
        </w:rPr>
        <w:t>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до 15% </w:t>
      </w:r>
      <w:r w:rsidR="004F5C29" w:rsidRPr="00771F6E">
        <w:rPr>
          <w:rFonts w:eastAsia="Times New Roman"/>
          <w:color w:val="auto"/>
          <w:sz w:val="24"/>
          <w:szCs w:val="24"/>
          <w:lang w:eastAsia="en-US"/>
        </w:rPr>
        <w:t>[32-34]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, у взрослых </w:t>
      </w:r>
      <w:r w:rsidR="00E51AF1" w:rsidRPr="00771F6E">
        <w:rPr>
          <w:rFonts w:eastAsia="Times New Roman"/>
          <w:color w:val="auto"/>
          <w:sz w:val="24"/>
          <w:szCs w:val="24"/>
          <w:lang w:eastAsia="en-US"/>
        </w:rPr>
        <w:t xml:space="preserve">он может 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достига</w:t>
      </w:r>
      <w:r w:rsidR="00E51AF1" w:rsidRPr="00771F6E">
        <w:rPr>
          <w:rFonts w:eastAsia="Times New Roman"/>
          <w:color w:val="auto"/>
          <w:sz w:val="24"/>
          <w:szCs w:val="24"/>
          <w:lang w:eastAsia="en-US"/>
        </w:rPr>
        <w:t>ть 50% (в среднем 30%)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 </w:t>
      </w:r>
      <w:r w:rsidR="00972587" w:rsidRPr="00771F6E">
        <w:rPr>
          <w:rFonts w:eastAsia="Times New Roman"/>
          <w:color w:val="auto"/>
          <w:sz w:val="24"/>
          <w:szCs w:val="24"/>
          <w:lang w:eastAsia="en-US"/>
        </w:rPr>
        <w:t>[35-41</w:t>
      </w:r>
      <w:r w:rsidR="004F5C29" w:rsidRPr="00771F6E">
        <w:rPr>
          <w:rFonts w:eastAsia="Times New Roman"/>
          <w:color w:val="auto"/>
          <w:sz w:val="24"/>
          <w:szCs w:val="24"/>
          <w:lang w:eastAsia="en-US"/>
        </w:rPr>
        <w:t>]</w:t>
      </w:r>
      <w:r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F73526" w:rsidRPr="00771F6E" w:rsidRDefault="00A2041D" w:rsidP="000E5FA1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eastAsia="en-US"/>
        </w:rPr>
      </w:pPr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Факторы неблагоприятного прогноза </w:t>
      </w:r>
      <w:r w:rsidR="00BE1242" w:rsidRPr="00771F6E">
        <w:rPr>
          <w:rFonts w:eastAsia="Times New Roman"/>
          <w:color w:val="auto"/>
          <w:sz w:val="24"/>
          <w:szCs w:val="24"/>
          <w:lang w:eastAsia="en-US"/>
        </w:rPr>
        <w:t>обсуждались выше (</w:t>
      </w:r>
      <w:proofErr w:type="gramStart"/>
      <w:r w:rsidRPr="00771F6E">
        <w:rPr>
          <w:rFonts w:eastAsia="Times New Roman"/>
          <w:color w:val="auto"/>
          <w:sz w:val="24"/>
          <w:szCs w:val="24"/>
          <w:lang w:eastAsia="en-US"/>
        </w:rPr>
        <w:t>см</w:t>
      </w:r>
      <w:proofErr w:type="gramEnd"/>
      <w:r w:rsidRPr="00771F6E">
        <w:rPr>
          <w:rFonts w:eastAsia="Times New Roman"/>
          <w:color w:val="auto"/>
          <w:sz w:val="24"/>
          <w:szCs w:val="24"/>
          <w:lang w:eastAsia="en-US"/>
        </w:rPr>
        <w:t xml:space="preserve">. </w:t>
      </w:r>
      <w:r w:rsidR="007F39B5" w:rsidRPr="00771F6E">
        <w:rPr>
          <w:rFonts w:eastAsia="Times New Roman"/>
          <w:color w:val="auto"/>
          <w:sz w:val="24"/>
          <w:szCs w:val="24"/>
          <w:lang w:eastAsia="en-US"/>
        </w:rPr>
        <w:t>Табл. 1</w:t>
      </w:r>
      <w:r w:rsidR="000E5FA1" w:rsidRPr="00771F6E">
        <w:rPr>
          <w:rFonts w:eastAsia="Times New Roman"/>
          <w:color w:val="auto"/>
          <w:sz w:val="24"/>
          <w:szCs w:val="24"/>
          <w:lang w:eastAsia="en-US"/>
        </w:rPr>
        <w:t xml:space="preserve"> «</w:t>
      </w:r>
      <w:r w:rsidR="007F39B5" w:rsidRPr="00771F6E">
        <w:rPr>
          <w:rFonts w:eastAsia="Times New Roman"/>
          <w:color w:val="auto"/>
          <w:sz w:val="24"/>
          <w:szCs w:val="24"/>
          <w:lang w:eastAsia="en-US"/>
        </w:rPr>
        <w:t>Факторы</w:t>
      </w:r>
      <w:r w:rsidR="000E5FA1" w:rsidRPr="00771F6E">
        <w:rPr>
          <w:rFonts w:eastAsia="Times New Roman"/>
          <w:color w:val="auto"/>
          <w:sz w:val="24"/>
          <w:szCs w:val="24"/>
          <w:lang w:eastAsia="en-US"/>
        </w:rPr>
        <w:t xml:space="preserve"> прогрессирования</w:t>
      </w:r>
      <w:r w:rsidR="007F39B5" w:rsidRPr="00771F6E">
        <w:rPr>
          <w:rFonts w:eastAsia="Times New Roman"/>
          <w:color w:val="auto"/>
          <w:sz w:val="24"/>
          <w:szCs w:val="24"/>
          <w:lang w:eastAsia="en-US"/>
        </w:rPr>
        <w:t xml:space="preserve"> ГН-ПШГ</w:t>
      </w:r>
      <w:r w:rsidR="000E5FA1" w:rsidRPr="00771F6E">
        <w:rPr>
          <w:rFonts w:eastAsia="Times New Roman"/>
          <w:color w:val="auto"/>
          <w:sz w:val="24"/>
          <w:szCs w:val="24"/>
          <w:lang w:eastAsia="en-US"/>
        </w:rPr>
        <w:t>»)</w:t>
      </w:r>
      <w:r w:rsidR="00BE1242" w:rsidRPr="00771F6E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2C7817" w:rsidRPr="00771F6E" w:rsidRDefault="002C7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6E">
        <w:rPr>
          <w:sz w:val="24"/>
          <w:szCs w:val="24"/>
        </w:rPr>
        <w:br w:type="page"/>
      </w:r>
    </w:p>
    <w:p w:rsidR="004F5C29" w:rsidRPr="00771F6E" w:rsidRDefault="004F5C29" w:rsidP="004F5C29">
      <w:pPr>
        <w:jc w:val="center"/>
        <w:rPr>
          <w:rFonts w:ascii="Times New Roman" w:hAnsi="Times New Roman"/>
          <w:b/>
          <w:sz w:val="24"/>
          <w:szCs w:val="24"/>
        </w:rPr>
      </w:pPr>
      <w:r w:rsidRPr="00771F6E">
        <w:rPr>
          <w:rFonts w:ascii="Times New Roman" w:hAnsi="Times New Roman"/>
          <w:b/>
          <w:sz w:val="24"/>
          <w:szCs w:val="24"/>
          <w:lang w:val="en-US"/>
        </w:rPr>
        <w:lastRenderedPageBreak/>
        <w:t>СПИСОК ЛИТЕРАТУРЫ</w:t>
      </w:r>
    </w:p>
    <w:p w:rsidR="004F5C29" w:rsidRPr="00771F6E" w:rsidRDefault="004F5C29" w:rsidP="004F5C29">
      <w:pPr>
        <w:pStyle w:val="a3"/>
        <w:numPr>
          <w:ilvl w:val="0"/>
          <w:numId w:val="41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 xml:space="preserve">Kidney Disease: Improving Global Outcomes (KDIGO)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Glomerulonephritis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WorkGroup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KDIGO Clinical Practice Guideline for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Glomerulonephritis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. Kidney Inter., Suppl. 2012; 2: 139-274.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>Мухин Н.А., Козловская Л.В., Шилов Е.М. и др. Рациональная фармакотерапия в нефрологии. Рук</w:t>
      </w:r>
      <w:proofErr w:type="gramStart"/>
      <w:r w:rsidRPr="00771F6E">
        <w:rPr>
          <w:rFonts w:ascii="Times New Roman" w:hAnsi="Times New Roman"/>
          <w:sz w:val="24"/>
          <w:szCs w:val="24"/>
        </w:rPr>
        <w:t>.</w:t>
      </w:r>
      <w:proofErr w:type="gramEnd"/>
      <w:r w:rsidRPr="00771F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1F6E">
        <w:rPr>
          <w:rFonts w:ascii="Times New Roman" w:hAnsi="Times New Roman"/>
          <w:sz w:val="24"/>
          <w:szCs w:val="24"/>
        </w:rPr>
        <w:t>д</w:t>
      </w:r>
      <w:proofErr w:type="gramEnd"/>
      <w:r w:rsidRPr="00771F6E">
        <w:rPr>
          <w:rFonts w:ascii="Times New Roman" w:hAnsi="Times New Roman"/>
          <w:sz w:val="24"/>
          <w:szCs w:val="24"/>
        </w:rPr>
        <w:t xml:space="preserve">ля практикующих врачей. М.: </w:t>
      </w:r>
      <w:proofErr w:type="spellStart"/>
      <w:r w:rsidRPr="00771F6E">
        <w:rPr>
          <w:rFonts w:ascii="Times New Roman" w:hAnsi="Times New Roman"/>
          <w:sz w:val="24"/>
          <w:szCs w:val="24"/>
        </w:rPr>
        <w:t>Литерра</w:t>
      </w:r>
      <w:proofErr w:type="spellEnd"/>
      <w:r w:rsidRPr="00771F6E">
        <w:rPr>
          <w:rFonts w:ascii="Times New Roman" w:hAnsi="Times New Roman"/>
          <w:sz w:val="24"/>
          <w:szCs w:val="24"/>
        </w:rPr>
        <w:t>, 2006; 896 с.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 xml:space="preserve">Нефрология. Национальное руководство. Краткое издание. Под ред. Н.А.Мухина. М.: </w:t>
      </w:r>
      <w:proofErr w:type="spellStart"/>
      <w:r w:rsidRPr="00771F6E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771F6E">
        <w:rPr>
          <w:rFonts w:ascii="Times New Roman" w:hAnsi="Times New Roman"/>
          <w:sz w:val="24"/>
          <w:szCs w:val="24"/>
        </w:rPr>
        <w:t>, 2014; 608.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Gardner-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Medwin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J.M.,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Dolezalova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P., Cummins C.,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Southwood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T.R. Incidence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¨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, Kawasaki disease, and rare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vasculitides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children of different ethnic origins. Lancet 2002 (360): 1197–1202.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Dolezalova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Telekesova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Nemcova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Hoza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J. Incidence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vasculitis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children in the Czech Republic: 2-year prospective epidemiology survey. J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Rheumatol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2004</w:t>
      </w:r>
      <w:r w:rsidR="00AF1947" w:rsidRPr="00771F6E">
        <w:rPr>
          <w:rFonts w:ascii="Times New Roman" w:hAnsi="Times New Roman"/>
          <w:sz w:val="24"/>
          <w:szCs w:val="24"/>
        </w:rPr>
        <w:t>;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31: 2295–2299.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Yang Y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Hung C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F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Hsu C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. et al. </w:t>
      </w:r>
      <w:r w:rsidRPr="00771F6E">
        <w:rPr>
          <w:rFonts w:ascii="Times New Roman" w:hAnsi="Times New Roman"/>
          <w:sz w:val="24"/>
          <w:szCs w:val="24"/>
          <w:lang w:val="en-US"/>
        </w:rPr>
        <w:t>A nationwide survey on epidemiological characteri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stics of childhood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proofErr w:type="gramEnd"/>
      <w:r w:rsidRPr="00771F6E">
        <w:rPr>
          <w:rFonts w:ascii="Times New Roman" w:hAnsi="Times New Roman"/>
          <w:sz w:val="24"/>
          <w:szCs w:val="24"/>
          <w:lang w:val="en-US"/>
        </w:rPr>
        <w:t xml:space="preserve"> in Taiwan. Rheumatology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2005; </w:t>
      </w:r>
      <w:r w:rsidRPr="00771F6E">
        <w:rPr>
          <w:rFonts w:ascii="Times New Roman" w:hAnsi="Times New Roman"/>
          <w:sz w:val="24"/>
          <w:szCs w:val="24"/>
          <w:lang w:val="en-US"/>
        </w:rPr>
        <w:t>44: 618–622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Aalberse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Dolman K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Ramnath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G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. et al.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children: An epidemiological study among Dutch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paediatricians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on incidence and diagnostic criteria. Ann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Rheum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2007; </w:t>
      </w:r>
      <w:r w:rsidRPr="00771F6E">
        <w:rPr>
          <w:rFonts w:ascii="Times New Roman" w:hAnsi="Times New Roman"/>
          <w:sz w:val="24"/>
          <w:szCs w:val="24"/>
          <w:lang w:val="en-US"/>
        </w:rPr>
        <w:t>66: 1648–1650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McCarthy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Tizard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J. Clinical practice: diagnosis and management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. European Journal of Pediatric</w:t>
      </w:r>
      <w:proofErr w:type="spellStart"/>
      <w:r w:rsidRPr="00771F6E">
        <w:rPr>
          <w:rFonts w:ascii="Times New Roman" w:hAnsi="Times New Roman"/>
          <w:sz w:val="24"/>
          <w:szCs w:val="24"/>
        </w:rPr>
        <w:t>s</w:t>
      </w:r>
      <w:proofErr w:type="spellEnd"/>
      <w:r w:rsidRPr="00771F6E">
        <w:rPr>
          <w:rFonts w:ascii="Times New Roman" w:hAnsi="Times New Roman"/>
          <w:sz w:val="24"/>
          <w:szCs w:val="24"/>
        </w:rPr>
        <w:t>. 2010;</w:t>
      </w:r>
      <w:r w:rsidR="00AF1947" w:rsidRPr="00771F6E">
        <w:rPr>
          <w:rFonts w:ascii="Times New Roman" w:hAnsi="Times New Roman"/>
          <w:sz w:val="24"/>
          <w:szCs w:val="24"/>
        </w:rPr>
        <w:t xml:space="preserve"> </w:t>
      </w:r>
      <w:r w:rsidRPr="00771F6E">
        <w:rPr>
          <w:rFonts w:ascii="Times New Roman" w:hAnsi="Times New Roman"/>
          <w:sz w:val="24"/>
          <w:szCs w:val="24"/>
        </w:rPr>
        <w:t>169:</w:t>
      </w:r>
      <w:r w:rsidR="00AF1947" w:rsidRPr="00771F6E">
        <w:rPr>
          <w:rFonts w:ascii="Times New Roman" w:hAnsi="Times New Roman"/>
          <w:sz w:val="24"/>
          <w:szCs w:val="24"/>
        </w:rPr>
        <w:t xml:space="preserve"> </w:t>
      </w:r>
      <w:r w:rsidRPr="00771F6E">
        <w:rPr>
          <w:rFonts w:ascii="Times New Roman" w:hAnsi="Times New Roman"/>
          <w:sz w:val="24"/>
          <w:szCs w:val="24"/>
        </w:rPr>
        <w:t>643–650.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Fervenza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F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C.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Dermatol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2003; 42: 170-7.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Rieu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Noel L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in children and adults. Morphological features and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clinicopathological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correlations. Ann Med Interne (Paris)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1999; </w:t>
      </w:r>
      <w:r w:rsidRPr="00771F6E">
        <w:rPr>
          <w:rFonts w:ascii="Times New Roman" w:hAnsi="Times New Roman"/>
          <w:sz w:val="24"/>
          <w:szCs w:val="24"/>
          <w:lang w:val="en-US"/>
        </w:rPr>
        <w:t>150: 151–159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Fillastre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P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Morel-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Maroger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L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Ducroiset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B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Richet G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Renal involvement in rheumatoid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adults. Study of 20 renal biopsies. Value of the examination of the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glomerulus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immunofluorescence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Presse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Med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1970; </w:t>
      </w:r>
      <w:r w:rsidRPr="00771F6E">
        <w:rPr>
          <w:rFonts w:ascii="Times New Roman" w:hAnsi="Times New Roman"/>
          <w:sz w:val="24"/>
          <w:szCs w:val="24"/>
          <w:lang w:val="en-US"/>
        </w:rPr>
        <w:t>78: 2375–2378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Faull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Aarons I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Woodroffe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Clarkson A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Adult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Aust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 Z J Med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1987; </w:t>
      </w:r>
      <w:r w:rsidRPr="00771F6E">
        <w:rPr>
          <w:rFonts w:ascii="Times New Roman" w:hAnsi="Times New Roman"/>
          <w:sz w:val="24"/>
          <w:szCs w:val="24"/>
          <w:lang w:val="en-US"/>
        </w:rPr>
        <w:t>17: 396–401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Meulders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Q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Pirson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Y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Cosyns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P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. et al. 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Course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after renal transplantation. Transplantation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1994; </w:t>
      </w:r>
      <w:r w:rsidRPr="00771F6E">
        <w:rPr>
          <w:rFonts w:ascii="Times New Roman" w:hAnsi="Times New Roman"/>
          <w:sz w:val="24"/>
          <w:szCs w:val="24"/>
          <w:lang w:val="en-US"/>
        </w:rPr>
        <w:t>58: 1179–1186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диагностике и лечению </w:t>
      </w:r>
      <w:proofErr w:type="gramStart"/>
      <w:r w:rsidR="00AF1947" w:rsidRPr="00771F6E">
        <w:rPr>
          <w:rFonts w:ascii="Times New Roman" w:hAnsi="Times New Roman"/>
          <w:sz w:val="24"/>
          <w:szCs w:val="24"/>
        </w:rPr>
        <w:t>с</w:t>
      </w:r>
      <w:r w:rsidRPr="00771F6E">
        <w:rPr>
          <w:rFonts w:ascii="Times New Roman" w:hAnsi="Times New Roman"/>
          <w:sz w:val="24"/>
          <w:szCs w:val="24"/>
        </w:rPr>
        <w:t>истемных</w:t>
      </w:r>
      <w:proofErr w:type="gramEnd"/>
      <w:r w:rsidRPr="00771F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</w:rPr>
        <w:t>васкулитов</w:t>
      </w:r>
      <w:proofErr w:type="spellEnd"/>
      <w:r w:rsidR="00AF1947" w:rsidRPr="00771F6E">
        <w:rPr>
          <w:rFonts w:ascii="Times New Roman" w:hAnsi="Times New Roman"/>
          <w:sz w:val="24"/>
          <w:szCs w:val="24"/>
        </w:rPr>
        <w:t>:</w:t>
      </w:r>
      <w:r w:rsidRPr="00771F6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71F6E">
          <w:rPr>
            <w:rFonts w:ascii="Times New Roman" w:hAnsi="Times New Roman"/>
            <w:sz w:val="24"/>
            <w:szCs w:val="24"/>
          </w:rPr>
          <w:t>http://rheumatolog.ru/experts/klinicheskie-rekomendacii</w:t>
        </w:r>
      </w:hyperlink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Coppo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Andrulli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Amore A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Predictors of outcome in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in children and adults. </w:t>
      </w:r>
      <w:proofErr w:type="gramStart"/>
      <w:r w:rsidRPr="00771F6E">
        <w:rPr>
          <w:rFonts w:ascii="Times New Roman" w:hAnsi="Times New Roman"/>
          <w:sz w:val="24"/>
          <w:szCs w:val="24"/>
          <w:lang w:val="en-US"/>
        </w:rPr>
        <w:t>Am</w:t>
      </w:r>
      <w:proofErr w:type="gramEnd"/>
      <w:r w:rsidRPr="00771F6E">
        <w:rPr>
          <w:rFonts w:ascii="Times New Roman" w:hAnsi="Times New Roman"/>
          <w:sz w:val="24"/>
          <w:szCs w:val="24"/>
          <w:lang w:val="en-US"/>
        </w:rPr>
        <w:t xml:space="preserve"> J Kidney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2006; 47:993–1003.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Coppo</w:t>
      </w:r>
      <w:proofErr w:type="spellEnd"/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 R.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Mazzucco</w:t>
      </w:r>
      <w:proofErr w:type="spellEnd"/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 G.</w:t>
      </w:r>
      <w:r w:rsidRPr="00771F6E">
        <w:rPr>
          <w:rFonts w:ascii="Times New Roman" w:hAnsi="Times New Roman"/>
          <w:sz w:val="24"/>
          <w:szCs w:val="24"/>
          <w:lang w:val="en-US"/>
        </w:rPr>
        <w:t>, Cagnoli1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 L. et al. 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Long-term prognosis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–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in adults and children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Dial Transplant 1997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;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12: 2277–2283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Coppo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Peruzzi L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Amore A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IgACE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: a placebo-controlled, randomized trial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angiotensin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-converting enzyme inhibitors in children and young people with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IgA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nephropathy and moderate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proteinuria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J Am Soc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2007; 18: 1880–1888.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Foster B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Bernard C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Drummond K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N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Effective therapy </w:t>
      </w:r>
      <w:proofErr w:type="gramStart"/>
      <w:r w:rsidRPr="00771F6E">
        <w:rPr>
          <w:rFonts w:ascii="Times New Roman" w:hAnsi="Times New Roman"/>
          <w:sz w:val="24"/>
          <w:szCs w:val="24"/>
          <w:lang w:val="en-US"/>
        </w:rPr>
        <w:t>for  severe</w:t>
      </w:r>
      <w:proofErr w:type="gram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with prednisone and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azathioprine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: a clinical and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histopathologic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study. J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2000; 136: 370–375.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lastRenderedPageBreak/>
        <w:t>Pillebout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Alberti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Guillevin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L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Addition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cyclophosphamide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to steroids provides no benefit compared with steroids alone in treating adult patients with severe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Kidney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2010; 78: 495–502.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Flynn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T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Smoyer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W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E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Bunchman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E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Treatment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glomerulonephritis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children with high-dose corticosteroids plus oral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cyclophosphamide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Am J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2001; 21: 128–</w:t>
      </w:r>
      <w:proofErr w:type="gramStart"/>
      <w:r w:rsidRPr="00771F6E">
        <w:rPr>
          <w:rFonts w:ascii="Times New Roman" w:hAnsi="Times New Roman"/>
          <w:sz w:val="24"/>
          <w:szCs w:val="24"/>
          <w:lang w:val="en-US"/>
        </w:rPr>
        <w:t>133.</w:t>
      </w:r>
      <w:proofErr w:type="gramEnd"/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Ronkainen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Autio-Harmainen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Nuutinen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Cyclosporin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A for the treatment of severe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glomerulonephritis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2003; 18: 1138–1142.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Shin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I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Park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M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Shin Y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Cyclosporin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A therapy for severe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with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nephrotic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syndrome.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2005; 20: 1093–1097.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Kawasaki Y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Suzuki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Murai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Plasmapheresis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therapy for rapidly progressive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2004; 19: 920–923.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Shenoy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Ognjanovic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V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Coulthard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G. Treating severe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IgA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with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plasmapheresis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alone.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2007; 22: 1167–1171.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Fuentes Y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Valverde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Valesquez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-Jones L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Comparison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azathioprine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mofetil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mycophenolate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for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-</w:t>
      </w:r>
      <w:r w:rsidR="00337554"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37554" w:rsidRPr="00771F6E">
        <w:rPr>
          <w:rFonts w:ascii="Times New Roman" w:hAnsi="Times New Roman"/>
          <w:sz w:val="24"/>
          <w:szCs w:val="24"/>
          <w:lang w:val="en-US"/>
        </w:rPr>
        <w:t>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treatment (abstract).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2010; 25: 1802.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Donnithorne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K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Atkinson T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P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Hinze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Rituximab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therapy for severe refractory chronic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J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2009; 155: 136–139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Pillebout</w:t>
      </w:r>
      <w:proofErr w:type="spellEnd"/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 E.</w:t>
      </w:r>
      <w:r w:rsidRPr="00771F6E">
        <w:rPr>
          <w:rFonts w:ascii="Times New Roman" w:hAnsi="Times New Roman"/>
          <w:sz w:val="24"/>
          <w:szCs w:val="24"/>
          <w:lang w:val="en-US"/>
        </w:rPr>
        <w:t>, Rocha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 F.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Fardet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L. 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et al. Successful outcome using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rituximab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as the only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immunomodulation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>: case report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Dial Transplant 2011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;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26: 2044–2046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Chartapisak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W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Opastiraku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Willis N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S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Prevention and </w:t>
      </w:r>
      <w:proofErr w:type="gramStart"/>
      <w:r w:rsidRPr="00771F6E">
        <w:rPr>
          <w:rFonts w:ascii="Times New Roman" w:hAnsi="Times New Roman"/>
          <w:sz w:val="24"/>
          <w:szCs w:val="24"/>
          <w:lang w:val="en-US"/>
        </w:rPr>
        <w:t>treatment  of</w:t>
      </w:r>
      <w:proofErr w:type="gramEnd"/>
      <w:r w:rsidRPr="00771F6E">
        <w:rPr>
          <w:rFonts w:ascii="Times New Roman" w:hAnsi="Times New Roman"/>
          <w:sz w:val="24"/>
          <w:szCs w:val="24"/>
          <w:lang w:val="en-US"/>
        </w:rPr>
        <w:t xml:space="preserve"> renal disease in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: a systematic review. Arch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Dis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Child 2009; 94: 132–137.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Chartapisak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W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Opastirakul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Hodson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M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et al. Interventions for preventing and treating kidney disease in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(HSP). Cochrane Database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Syst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Rev 2009: CD005128.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Meadow S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Glasgow E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F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White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. et al.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Schonlein-Henoch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Q J Med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1972; </w:t>
      </w:r>
      <w:r w:rsidRPr="00771F6E">
        <w:rPr>
          <w:rFonts w:ascii="Times New Roman" w:hAnsi="Times New Roman"/>
          <w:sz w:val="24"/>
          <w:szCs w:val="24"/>
          <w:lang w:val="en-US"/>
        </w:rPr>
        <w:t>41: 241–258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Niaudet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Habib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Schonlein-Henoch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nephritis: Prognostic factors and therapy. Ann Med Interne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1994; </w:t>
      </w:r>
      <w:r w:rsidRPr="00771F6E">
        <w:rPr>
          <w:rFonts w:ascii="Times New Roman" w:hAnsi="Times New Roman"/>
          <w:sz w:val="24"/>
          <w:szCs w:val="24"/>
          <w:lang w:val="en-US"/>
        </w:rPr>
        <w:t>145: 577–580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Yoshikawa N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White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Cameron A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Prognostic significance of the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glomerular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changes in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Henoch-Schoenlein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1981; </w:t>
      </w:r>
      <w:r w:rsidRPr="00771F6E">
        <w:rPr>
          <w:rFonts w:ascii="Times New Roman" w:hAnsi="Times New Roman"/>
          <w:sz w:val="24"/>
          <w:szCs w:val="24"/>
          <w:lang w:val="en-US"/>
        </w:rPr>
        <w:t>16: 223–229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AF1947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Goldstein A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White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H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Akuse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Chantler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Long-term follow-up of childhood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Lancet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1992; </w:t>
      </w:r>
      <w:r w:rsidRPr="00771F6E">
        <w:rPr>
          <w:rFonts w:ascii="Times New Roman" w:hAnsi="Times New Roman"/>
          <w:sz w:val="24"/>
          <w:szCs w:val="24"/>
          <w:lang w:val="en-US"/>
        </w:rPr>
        <w:t>339: 280–282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Scharer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K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Krmar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Querfeld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U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. et al. 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Clinical outcome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Schonlein-Henoch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in children.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Pediatr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1999; </w:t>
      </w:r>
      <w:r w:rsidRPr="00771F6E">
        <w:rPr>
          <w:rFonts w:ascii="Times New Roman" w:hAnsi="Times New Roman"/>
          <w:sz w:val="24"/>
          <w:szCs w:val="24"/>
          <w:lang w:val="en-US"/>
        </w:rPr>
        <w:t>13: 816–823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Cream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Gumpel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M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Peachey R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D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Schonlein-Henoch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the adult. A study of 77 adults with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anaphylactoid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or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Schonlein-Henoch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. Q J Med 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 xml:space="preserve">1970; </w:t>
      </w:r>
      <w:r w:rsidRPr="00771F6E">
        <w:rPr>
          <w:rFonts w:ascii="Times New Roman" w:hAnsi="Times New Roman"/>
          <w:sz w:val="24"/>
          <w:szCs w:val="24"/>
          <w:lang w:val="en-US"/>
        </w:rPr>
        <w:t>39: 461–484</w:t>
      </w:r>
      <w:r w:rsidR="00AF194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Roth D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A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Wilz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D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R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Theil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G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B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Schonlein-Henoch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syndrome in adults. Q J Med 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 xml:space="preserve">1985; </w:t>
      </w:r>
      <w:r w:rsidRPr="00771F6E">
        <w:rPr>
          <w:rFonts w:ascii="Times New Roman" w:hAnsi="Times New Roman"/>
          <w:sz w:val="24"/>
          <w:szCs w:val="24"/>
          <w:lang w:val="en-US"/>
        </w:rPr>
        <w:t>55: 145–152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Lee H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S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Koh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H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I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Kim M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Rha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H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Y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Henoch-Schoenlein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in adults: A clinical and morphological study.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 xml:space="preserve">1986; </w:t>
      </w:r>
      <w:r w:rsidRPr="00771F6E">
        <w:rPr>
          <w:rFonts w:ascii="Times New Roman" w:hAnsi="Times New Roman"/>
          <w:sz w:val="24"/>
          <w:szCs w:val="24"/>
          <w:lang w:val="en-US"/>
        </w:rPr>
        <w:t>26: 125–130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lastRenderedPageBreak/>
        <w:t>Faull R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Aarons I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Woodroffe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J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Clarkson A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R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 Adult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Aust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 Z J Med 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 xml:space="preserve">1987; </w:t>
      </w:r>
      <w:r w:rsidRPr="00771F6E">
        <w:rPr>
          <w:rFonts w:ascii="Times New Roman" w:hAnsi="Times New Roman"/>
          <w:sz w:val="24"/>
          <w:szCs w:val="24"/>
          <w:lang w:val="en-US"/>
        </w:rPr>
        <w:t>17: 396–401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Fogazzi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G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B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Pasquali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Moriggi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 xml:space="preserve">. et al. 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Long-term outcome of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Schonlein-Henoch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 in the adult.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Nephrol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 xml:space="preserve">1989; </w:t>
      </w:r>
      <w:r w:rsidRPr="00771F6E">
        <w:rPr>
          <w:rFonts w:ascii="Times New Roman" w:hAnsi="Times New Roman"/>
          <w:sz w:val="24"/>
          <w:szCs w:val="24"/>
          <w:lang w:val="en-US"/>
        </w:rPr>
        <w:t>31: 60–66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4F5C29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771F6E">
        <w:rPr>
          <w:rFonts w:ascii="Times New Roman" w:hAnsi="Times New Roman"/>
          <w:sz w:val="24"/>
          <w:szCs w:val="24"/>
          <w:lang w:val="en-US"/>
        </w:rPr>
        <w:t>Blanco R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Martinez-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Taboada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M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>, Rodriguez-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Valverde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 xml:space="preserve">. et al.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Henoch-Schonlein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purpura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in adulthood and childhood: Two different expressions of the same syndrome. Arthritis Rheum 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 xml:space="preserve">1997; </w:t>
      </w:r>
      <w:r w:rsidRPr="00771F6E">
        <w:rPr>
          <w:rFonts w:ascii="Times New Roman" w:hAnsi="Times New Roman"/>
          <w:sz w:val="24"/>
          <w:szCs w:val="24"/>
          <w:lang w:val="en-US"/>
        </w:rPr>
        <w:t>40: 859–864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2C7817" w:rsidRPr="00771F6E" w:rsidRDefault="004F5C29" w:rsidP="004F5C29">
      <w:pPr>
        <w:numPr>
          <w:ilvl w:val="0"/>
          <w:numId w:val="4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Feehally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  <w:r w:rsidRPr="00771F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Floege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J.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IgA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nephropathy and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Henoch-Schönlein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nephritis. In: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Floege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, J, Johnson RJ, </w:t>
      </w:r>
      <w:proofErr w:type="spellStart"/>
      <w:r w:rsidRPr="00771F6E">
        <w:rPr>
          <w:rFonts w:ascii="Times New Roman" w:hAnsi="Times New Roman"/>
          <w:sz w:val="24"/>
          <w:szCs w:val="24"/>
          <w:lang w:val="en-US"/>
        </w:rPr>
        <w:t>Feehally</w:t>
      </w:r>
      <w:proofErr w:type="spellEnd"/>
      <w:r w:rsidRPr="00771F6E">
        <w:rPr>
          <w:rFonts w:ascii="Times New Roman" w:hAnsi="Times New Roman"/>
          <w:sz w:val="24"/>
          <w:szCs w:val="24"/>
          <w:lang w:val="en-US"/>
        </w:rPr>
        <w:t xml:space="preserve"> J, ed. Comprehensive Clinical Nephrology. 4th ed. St. Louis, MO: Elsevier Saunders; 2010: 270–281</w:t>
      </w:r>
      <w:r w:rsidR="00972587" w:rsidRPr="00771F6E">
        <w:rPr>
          <w:rFonts w:ascii="Times New Roman" w:hAnsi="Times New Roman"/>
          <w:sz w:val="24"/>
          <w:szCs w:val="24"/>
          <w:lang w:val="en-US"/>
        </w:rPr>
        <w:t>.</w:t>
      </w:r>
    </w:p>
    <w:p w:rsidR="00F73526" w:rsidRPr="00771F6E" w:rsidRDefault="00F73526" w:rsidP="000E5FA1">
      <w:pPr>
        <w:pStyle w:val="Text05"/>
        <w:numPr>
          <w:ilvl w:val="0"/>
          <w:numId w:val="0"/>
        </w:numPr>
        <w:spacing w:before="120" w:after="200" w:line="276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sectPr w:rsidR="00F73526" w:rsidRPr="00771F6E" w:rsidSect="0062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utch 80 1 BT">
    <w:altName w:val="Dutch 80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02"/>
    <w:multiLevelType w:val="hybridMultilevel"/>
    <w:tmpl w:val="02108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80156"/>
    <w:multiLevelType w:val="hybridMultilevel"/>
    <w:tmpl w:val="00B69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27A0F"/>
    <w:multiLevelType w:val="hybridMultilevel"/>
    <w:tmpl w:val="9ED6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50C14"/>
    <w:multiLevelType w:val="multilevel"/>
    <w:tmpl w:val="6F6C1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ECD0CDA"/>
    <w:multiLevelType w:val="hybridMultilevel"/>
    <w:tmpl w:val="87904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F45B0"/>
    <w:multiLevelType w:val="hybridMultilevel"/>
    <w:tmpl w:val="4BF67D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2B0F32"/>
    <w:multiLevelType w:val="hybridMultilevel"/>
    <w:tmpl w:val="85EE7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F0671B"/>
    <w:multiLevelType w:val="hybridMultilevel"/>
    <w:tmpl w:val="2BE8B35E"/>
    <w:lvl w:ilvl="0" w:tplc="B9267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E6DC0"/>
    <w:multiLevelType w:val="hybridMultilevel"/>
    <w:tmpl w:val="5A282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76ACF"/>
    <w:multiLevelType w:val="hybridMultilevel"/>
    <w:tmpl w:val="9BCAF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917398"/>
    <w:multiLevelType w:val="hybridMultilevel"/>
    <w:tmpl w:val="483CA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A2EAF"/>
    <w:multiLevelType w:val="hybridMultilevel"/>
    <w:tmpl w:val="3E88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C47D4"/>
    <w:multiLevelType w:val="hybridMultilevel"/>
    <w:tmpl w:val="5E1E2066"/>
    <w:lvl w:ilvl="0" w:tplc="36F257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405FE7"/>
    <w:multiLevelType w:val="hybridMultilevel"/>
    <w:tmpl w:val="F430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A451B"/>
    <w:multiLevelType w:val="hybridMultilevel"/>
    <w:tmpl w:val="502AD91C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5">
    <w:nsid w:val="2D5422B1"/>
    <w:multiLevelType w:val="hybridMultilevel"/>
    <w:tmpl w:val="286A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278B6"/>
    <w:multiLevelType w:val="hybridMultilevel"/>
    <w:tmpl w:val="EF5C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90695"/>
    <w:multiLevelType w:val="hybridMultilevel"/>
    <w:tmpl w:val="5E2C4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AD040E"/>
    <w:multiLevelType w:val="hybridMultilevel"/>
    <w:tmpl w:val="5586496E"/>
    <w:lvl w:ilvl="0" w:tplc="5F34AF4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567D5"/>
    <w:multiLevelType w:val="hybridMultilevel"/>
    <w:tmpl w:val="BA9C7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>
    <w:nsid w:val="411F0AA0"/>
    <w:multiLevelType w:val="hybridMultilevel"/>
    <w:tmpl w:val="7D56D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97605"/>
    <w:multiLevelType w:val="hybridMultilevel"/>
    <w:tmpl w:val="D9CAD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DA3A71"/>
    <w:multiLevelType w:val="hybridMultilevel"/>
    <w:tmpl w:val="8BD4C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62AB9"/>
    <w:multiLevelType w:val="hybridMultilevel"/>
    <w:tmpl w:val="0660DA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A40550"/>
    <w:multiLevelType w:val="hybridMultilevel"/>
    <w:tmpl w:val="78EC6F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87D2D"/>
    <w:multiLevelType w:val="multilevel"/>
    <w:tmpl w:val="506CB3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6">
    <w:nsid w:val="542A0B2D"/>
    <w:multiLevelType w:val="hybridMultilevel"/>
    <w:tmpl w:val="F2D6B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E14C87"/>
    <w:multiLevelType w:val="hybridMultilevel"/>
    <w:tmpl w:val="3B0A5AAC"/>
    <w:lvl w:ilvl="0" w:tplc="F5767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FBE556D"/>
    <w:multiLevelType w:val="hybridMultilevel"/>
    <w:tmpl w:val="FE48A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2B4B13"/>
    <w:multiLevelType w:val="hybridMultilevel"/>
    <w:tmpl w:val="C3901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060801"/>
    <w:multiLevelType w:val="hybridMultilevel"/>
    <w:tmpl w:val="8982A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4D71BF"/>
    <w:multiLevelType w:val="multilevel"/>
    <w:tmpl w:val="087E09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2">
    <w:nsid w:val="69746348"/>
    <w:multiLevelType w:val="hybridMultilevel"/>
    <w:tmpl w:val="B4DA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B40AD"/>
    <w:multiLevelType w:val="hybridMultilevel"/>
    <w:tmpl w:val="BED8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9149F"/>
    <w:multiLevelType w:val="hybridMultilevel"/>
    <w:tmpl w:val="4ECC45F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>
    <w:nsid w:val="6F316C94"/>
    <w:multiLevelType w:val="multilevel"/>
    <w:tmpl w:val="7D9C6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none"/>
      <w:lvlText w:val="9.3.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6">
    <w:nsid w:val="71BA2F8E"/>
    <w:multiLevelType w:val="multilevel"/>
    <w:tmpl w:val="DA92A3E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59215C"/>
    <w:multiLevelType w:val="hybridMultilevel"/>
    <w:tmpl w:val="9B8A8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7F70E3"/>
    <w:multiLevelType w:val="hybridMultilevel"/>
    <w:tmpl w:val="465CB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750932"/>
    <w:multiLevelType w:val="multilevel"/>
    <w:tmpl w:val="22F6B9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9.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0">
    <w:nsid w:val="7C493FEA"/>
    <w:multiLevelType w:val="multilevel"/>
    <w:tmpl w:val="D24432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5"/>
  </w:num>
  <w:num w:numId="5">
    <w:abstractNumId w:val="37"/>
  </w:num>
  <w:num w:numId="6">
    <w:abstractNumId w:val="12"/>
  </w:num>
  <w:num w:numId="7">
    <w:abstractNumId w:val="8"/>
  </w:num>
  <w:num w:numId="8">
    <w:abstractNumId w:val="34"/>
  </w:num>
  <w:num w:numId="9">
    <w:abstractNumId w:val="22"/>
  </w:num>
  <w:num w:numId="10">
    <w:abstractNumId w:val="23"/>
  </w:num>
  <w:num w:numId="11">
    <w:abstractNumId w:val="19"/>
  </w:num>
  <w:num w:numId="12">
    <w:abstractNumId w:val="9"/>
  </w:num>
  <w:num w:numId="13">
    <w:abstractNumId w:val="27"/>
  </w:num>
  <w:num w:numId="14">
    <w:abstractNumId w:val="38"/>
  </w:num>
  <w:num w:numId="15">
    <w:abstractNumId w:val="18"/>
  </w:num>
  <w:num w:numId="16">
    <w:abstractNumId w:val="4"/>
  </w:num>
  <w:num w:numId="17">
    <w:abstractNumId w:val="25"/>
  </w:num>
  <w:num w:numId="18">
    <w:abstractNumId w:val="7"/>
  </w:num>
  <w:num w:numId="19">
    <w:abstractNumId w:val="31"/>
  </w:num>
  <w:num w:numId="20">
    <w:abstractNumId w:val="36"/>
  </w:num>
  <w:num w:numId="21">
    <w:abstractNumId w:val="39"/>
  </w:num>
  <w:num w:numId="22">
    <w:abstractNumId w:val="35"/>
  </w:num>
  <w:num w:numId="23">
    <w:abstractNumId w:val="40"/>
  </w:num>
  <w:num w:numId="24">
    <w:abstractNumId w:val="29"/>
  </w:num>
  <w:num w:numId="25">
    <w:abstractNumId w:val="10"/>
  </w:num>
  <w:num w:numId="26">
    <w:abstractNumId w:val="20"/>
  </w:num>
  <w:num w:numId="27">
    <w:abstractNumId w:val="1"/>
  </w:num>
  <w:num w:numId="28">
    <w:abstractNumId w:val="0"/>
  </w:num>
  <w:num w:numId="29">
    <w:abstractNumId w:val="26"/>
  </w:num>
  <w:num w:numId="30">
    <w:abstractNumId w:val="13"/>
  </w:num>
  <w:num w:numId="31">
    <w:abstractNumId w:val="17"/>
  </w:num>
  <w:num w:numId="32">
    <w:abstractNumId w:val="30"/>
  </w:num>
  <w:num w:numId="33">
    <w:abstractNumId w:val="14"/>
  </w:num>
  <w:num w:numId="34">
    <w:abstractNumId w:val="21"/>
  </w:num>
  <w:num w:numId="35">
    <w:abstractNumId w:val="33"/>
  </w:num>
  <w:num w:numId="36">
    <w:abstractNumId w:val="2"/>
  </w:num>
  <w:num w:numId="37">
    <w:abstractNumId w:val="11"/>
  </w:num>
  <w:num w:numId="38">
    <w:abstractNumId w:val="16"/>
  </w:num>
  <w:num w:numId="39">
    <w:abstractNumId w:val="32"/>
  </w:num>
  <w:num w:numId="40">
    <w:abstractNumId w:val="1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F1E9E"/>
    <w:rsid w:val="000054E4"/>
    <w:rsid w:val="00007AB0"/>
    <w:rsid w:val="000416ED"/>
    <w:rsid w:val="00042DF7"/>
    <w:rsid w:val="0004771F"/>
    <w:rsid w:val="00061855"/>
    <w:rsid w:val="000822FA"/>
    <w:rsid w:val="0008467A"/>
    <w:rsid w:val="000A3BEE"/>
    <w:rsid w:val="000C30B1"/>
    <w:rsid w:val="000D0FDA"/>
    <w:rsid w:val="000E539C"/>
    <w:rsid w:val="000E5FA1"/>
    <w:rsid w:val="000E60C7"/>
    <w:rsid w:val="000F49F8"/>
    <w:rsid w:val="00107100"/>
    <w:rsid w:val="00150A2C"/>
    <w:rsid w:val="001618C2"/>
    <w:rsid w:val="00166435"/>
    <w:rsid w:val="00167FF7"/>
    <w:rsid w:val="00187088"/>
    <w:rsid w:val="00191F12"/>
    <w:rsid w:val="0019345B"/>
    <w:rsid w:val="001A074F"/>
    <w:rsid w:val="001A14C7"/>
    <w:rsid w:val="001C4164"/>
    <w:rsid w:val="001C75BF"/>
    <w:rsid w:val="001D13A6"/>
    <w:rsid w:val="001D74E6"/>
    <w:rsid w:val="001F5A80"/>
    <w:rsid w:val="001F7069"/>
    <w:rsid w:val="00234CEE"/>
    <w:rsid w:val="00256B5A"/>
    <w:rsid w:val="002619E1"/>
    <w:rsid w:val="00262445"/>
    <w:rsid w:val="0027289D"/>
    <w:rsid w:val="002742C4"/>
    <w:rsid w:val="00283D98"/>
    <w:rsid w:val="00287DC8"/>
    <w:rsid w:val="002966A3"/>
    <w:rsid w:val="002B2F95"/>
    <w:rsid w:val="002B65B6"/>
    <w:rsid w:val="002C7817"/>
    <w:rsid w:val="002C7ADC"/>
    <w:rsid w:val="002D16CE"/>
    <w:rsid w:val="00305969"/>
    <w:rsid w:val="00306B58"/>
    <w:rsid w:val="003160D2"/>
    <w:rsid w:val="00337554"/>
    <w:rsid w:val="0035263B"/>
    <w:rsid w:val="00365E9B"/>
    <w:rsid w:val="00371C53"/>
    <w:rsid w:val="003A60B3"/>
    <w:rsid w:val="003B03DB"/>
    <w:rsid w:val="003D2C24"/>
    <w:rsid w:val="003E69CC"/>
    <w:rsid w:val="003F02BF"/>
    <w:rsid w:val="003F0357"/>
    <w:rsid w:val="00405BAD"/>
    <w:rsid w:val="004116C6"/>
    <w:rsid w:val="00414EBD"/>
    <w:rsid w:val="004259DE"/>
    <w:rsid w:val="00427147"/>
    <w:rsid w:val="004429A5"/>
    <w:rsid w:val="00445F44"/>
    <w:rsid w:val="00454CB0"/>
    <w:rsid w:val="00474B2A"/>
    <w:rsid w:val="004870AC"/>
    <w:rsid w:val="00491AE8"/>
    <w:rsid w:val="004A1690"/>
    <w:rsid w:val="004B4F14"/>
    <w:rsid w:val="004D1C9A"/>
    <w:rsid w:val="004D4C63"/>
    <w:rsid w:val="004D70BA"/>
    <w:rsid w:val="004E6735"/>
    <w:rsid w:val="004F3DFC"/>
    <w:rsid w:val="004F5C29"/>
    <w:rsid w:val="00510971"/>
    <w:rsid w:val="00513D39"/>
    <w:rsid w:val="00556C07"/>
    <w:rsid w:val="005613AF"/>
    <w:rsid w:val="00572999"/>
    <w:rsid w:val="00585303"/>
    <w:rsid w:val="0058559D"/>
    <w:rsid w:val="00594103"/>
    <w:rsid w:val="005A34FF"/>
    <w:rsid w:val="005B26C1"/>
    <w:rsid w:val="005C5603"/>
    <w:rsid w:val="005C7346"/>
    <w:rsid w:val="005C7422"/>
    <w:rsid w:val="005D0636"/>
    <w:rsid w:val="005D69DF"/>
    <w:rsid w:val="005D6E89"/>
    <w:rsid w:val="005E1F88"/>
    <w:rsid w:val="005E45F9"/>
    <w:rsid w:val="005F1625"/>
    <w:rsid w:val="005F536D"/>
    <w:rsid w:val="0060764C"/>
    <w:rsid w:val="006107F3"/>
    <w:rsid w:val="006134C5"/>
    <w:rsid w:val="006139A7"/>
    <w:rsid w:val="00617E03"/>
    <w:rsid w:val="00620A91"/>
    <w:rsid w:val="0062659B"/>
    <w:rsid w:val="00627F32"/>
    <w:rsid w:val="00632E66"/>
    <w:rsid w:val="006417C9"/>
    <w:rsid w:val="00660176"/>
    <w:rsid w:val="00674E7E"/>
    <w:rsid w:val="00676A02"/>
    <w:rsid w:val="00683374"/>
    <w:rsid w:val="006A4D8C"/>
    <w:rsid w:val="006A6AEA"/>
    <w:rsid w:val="006D0098"/>
    <w:rsid w:val="006E5C99"/>
    <w:rsid w:val="0072678E"/>
    <w:rsid w:val="00741C44"/>
    <w:rsid w:val="00745D7E"/>
    <w:rsid w:val="00750396"/>
    <w:rsid w:val="00767C01"/>
    <w:rsid w:val="00771F6E"/>
    <w:rsid w:val="00773EA2"/>
    <w:rsid w:val="00780AAD"/>
    <w:rsid w:val="007C6C61"/>
    <w:rsid w:val="007D5478"/>
    <w:rsid w:val="007E63CD"/>
    <w:rsid w:val="007F13C1"/>
    <w:rsid w:val="007F1E9E"/>
    <w:rsid w:val="007F39B5"/>
    <w:rsid w:val="0081622E"/>
    <w:rsid w:val="0082266D"/>
    <w:rsid w:val="00823502"/>
    <w:rsid w:val="00823686"/>
    <w:rsid w:val="00827627"/>
    <w:rsid w:val="00860564"/>
    <w:rsid w:val="00860AB2"/>
    <w:rsid w:val="00866AD7"/>
    <w:rsid w:val="00872807"/>
    <w:rsid w:val="008833EF"/>
    <w:rsid w:val="00885D36"/>
    <w:rsid w:val="00890B17"/>
    <w:rsid w:val="008967FA"/>
    <w:rsid w:val="008A6212"/>
    <w:rsid w:val="008B1FB1"/>
    <w:rsid w:val="008C32F5"/>
    <w:rsid w:val="0090322F"/>
    <w:rsid w:val="00905764"/>
    <w:rsid w:val="0091406B"/>
    <w:rsid w:val="00916A57"/>
    <w:rsid w:val="0092288E"/>
    <w:rsid w:val="00935FF8"/>
    <w:rsid w:val="00947948"/>
    <w:rsid w:val="00966737"/>
    <w:rsid w:val="00970798"/>
    <w:rsid w:val="00972587"/>
    <w:rsid w:val="00973AFA"/>
    <w:rsid w:val="00977AC1"/>
    <w:rsid w:val="009D46F7"/>
    <w:rsid w:val="009E3ABF"/>
    <w:rsid w:val="009F5A5E"/>
    <w:rsid w:val="009F6B96"/>
    <w:rsid w:val="009F75B5"/>
    <w:rsid w:val="009F7EA3"/>
    <w:rsid w:val="00A2041D"/>
    <w:rsid w:val="00A36944"/>
    <w:rsid w:val="00A53EDF"/>
    <w:rsid w:val="00A65C84"/>
    <w:rsid w:val="00A80D3D"/>
    <w:rsid w:val="00A81E8B"/>
    <w:rsid w:val="00AA4167"/>
    <w:rsid w:val="00AF1431"/>
    <w:rsid w:val="00AF1947"/>
    <w:rsid w:val="00B05697"/>
    <w:rsid w:val="00B22CDB"/>
    <w:rsid w:val="00B51136"/>
    <w:rsid w:val="00B562D3"/>
    <w:rsid w:val="00B8713E"/>
    <w:rsid w:val="00BA0468"/>
    <w:rsid w:val="00BC4B5E"/>
    <w:rsid w:val="00BE1242"/>
    <w:rsid w:val="00BF7457"/>
    <w:rsid w:val="00C20F52"/>
    <w:rsid w:val="00C2189D"/>
    <w:rsid w:val="00C27261"/>
    <w:rsid w:val="00C33150"/>
    <w:rsid w:val="00C40641"/>
    <w:rsid w:val="00C44A88"/>
    <w:rsid w:val="00CC3032"/>
    <w:rsid w:val="00CC7CAD"/>
    <w:rsid w:val="00CE3457"/>
    <w:rsid w:val="00CE7059"/>
    <w:rsid w:val="00CF5284"/>
    <w:rsid w:val="00D0092B"/>
    <w:rsid w:val="00D0307D"/>
    <w:rsid w:val="00D224D4"/>
    <w:rsid w:val="00D44CFA"/>
    <w:rsid w:val="00D71BFE"/>
    <w:rsid w:val="00D82814"/>
    <w:rsid w:val="00D93FBA"/>
    <w:rsid w:val="00DA202B"/>
    <w:rsid w:val="00DA6897"/>
    <w:rsid w:val="00DB0185"/>
    <w:rsid w:val="00DC711D"/>
    <w:rsid w:val="00DD1DDC"/>
    <w:rsid w:val="00DD6B22"/>
    <w:rsid w:val="00DE7639"/>
    <w:rsid w:val="00DF0A80"/>
    <w:rsid w:val="00E1006E"/>
    <w:rsid w:val="00E12E13"/>
    <w:rsid w:val="00E17B3E"/>
    <w:rsid w:val="00E313D0"/>
    <w:rsid w:val="00E336BD"/>
    <w:rsid w:val="00E51AF1"/>
    <w:rsid w:val="00E66B2F"/>
    <w:rsid w:val="00E84394"/>
    <w:rsid w:val="00E95FA0"/>
    <w:rsid w:val="00EA2FA5"/>
    <w:rsid w:val="00EB0EE0"/>
    <w:rsid w:val="00EE5FA0"/>
    <w:rsid w:val="00EF7F40"/>
    <w:rsid w:val="00F058FB"/>
    <w:rsid w:val="00F139CF"/>
    <w:rsid w:val="00F339E8"/>
    <w:rsid w:val="00F415C2"/>
    <w:rsid w:val="00F418FA"/>
    <w:rsid w:val="00F42FDD"/>
    <w:rsid w:val="00F52680"/>
    <w:rsid w:val="00F53D31"/>
    <w:rsid w:val="00F57A68"/>
    <w:rsid w:val="00F6483D"/>
    <w:rsid w:val="00F73526"/>
    <w:rsid w:val="00F839FF"/>
    <w:rsid w:val="00F926E1"/>
    <w:rsid w:val="00FB3A0A"/>
    <w:rsid w:val="00FB3F8E"/>
    <w:rsid w:val="00FC0090"/>
    <w:rsid w:val="00FC39D2"/>
    <w:rsid w:val="00FD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E9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F1E9E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qFormat/>
    <w:locked/>
    <w:rsid w:val="000D0F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1E9E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7F1E9E"/>
    <w:rPr>
      <w:rFonts w:ascii="Cambria" w:hAnsi="Cambria" w:cs="Times New Roman"/>
      <w:color w:val="243F60"/>
    </w:rPr>
  </w:style>
  <w:style w:type="paragraph" w:customStyle="1" w:styleId="Chap-Name">
    <w:name w:val="Chap-Name"/>
    <w:basedOn w:val="a"/>
    <w:next w:val="5"/>
    <w:link w:val="Chap-Name0"/>
    <w:rsid w:val="007F1E9E"/>
    <w:pPr>
      <w:suppressAutoHyphens/>
      <w:spacing w:before="240" w:after="360" w:line="360" w:lineRule="auto"/>
      <w:ind w:left="737" w:right="113" w:hanging="170"/>
      <w:jc w:val="right"/>
    </w:pPr>
    <w:rPr>
      <w:rFonts w:ascii="Arial" w:eastAsia="SimSun" w:hAnsi="Arial"/>
      <w:b/>
      <w:color w:val="800080"/>
      <w:sz w:val="36"/>
      <w:szCs w:val="24"/>
      <w:lang w:eastAsia="zh-CN"/>
    </w:rPr>
  </w:style>
  <w:style w:type="paragraph" w:customStyle="1" w:styleId="Title03">
    <w:name w:val="Title_03"/>
    <w:basedOn w:val="3"/>
    <w:link w:val="Title030"/>
    <w:rsid w:val="007F1E9E"/>
    <w:pPr>
      <w:keepNext w:val="0"/>
      <w:keepLines w:val="0"/>
      <w:widowControl w:val="0"/>
      <w:overflowPunct w:val="0"/>
      <w:autoSpaceDE w:val="0"/>
      <w:autoSpaceDN w:val="0"/>
      <w:adjustRightInd w:val="0"/>
      <w:spacing w:before="240" w:after="120" w:line="280" w:lineRule="exact"/>
      <w:textAlignment w:val="baseline"/>
    </w:pPr>
    <w:rPr>
      <w:rFonts w:ascii="Arial" w:eastAsia="SimSun" w:hAnsi="Arial"/>
      <w:bCs w:val="0"/>
      <w:caps/>
      <w:color w:val="000080"/>
      <w:lang w:eastAsia="zh-CN"/>
    </w:rPr>
  </w:style>
  <w:style w:type="character" w:customStyle="1" w:styleId="Title030">
    <w:name w:val="Title_03 Знак"/>
    <w:basedOn w:val="a0"/>
    <w:link w:val="Title03"/>
    <w:locked/>
    <w:rsid w:val="007F1E9E"/>
    <w:rPr>
      <w:rFonts w:ascii="Arial" w:eastAsia="SimSun" w:hAnsi="Arial" w:cs="Times New Roman"/>
      <w:b/>
      <w:caps/>
      <w:color w:val="000080"/>
      <w:lang w:eastAsia="zh-CN"/>
    </w:rPr>
  </w:style>
  <w:style w:type="character" w:customStyle="1" w:styleId="Chap-Name0">
    <w:name w:val="Chap-Name Знак"/>
    <w:basedOn w:val="a0"/>
    <w:link w:val="Chap-Name"/>
    <w:locked/>
    <w:rsid w:val="007F1E9E"/>
    <w:rPr>
      <w:rFonts w:ascii="Arial" w:eastAsia="SimSun" w:hAnsi="Arial" w:cs="Times New Roman"/>
      <w:b/>
      <w:color w:val="800080"/>
      <w:sz w:val="24"/>
      <w:szCs w:val="24"/>
      <w:lang w:eastAsia="zh-CN"/>
    </w:rPr>
  </w:style>
  <w:style w:type="paragraph" w:customStyle="1" w:styleId="ListParagraph1">
    <w:name w:val="List Paragraph1"/>
    <w:basedOn w:val="a"/>
    <w:rsid w:val="007F1E9E"/>
    <w:pPr>
      <w:ind w:left="720"/>
    </w:pPr>
  </w:style>
  <w:style w:type="paragraph" w:styleId="a3">
    <w:name w:val="List Paragraph"/>
    <w:basedOn w:val="a"/>
    <w:uiPriority w:val="34"/>
    <w:qFormat/>
    <w:rsid w:val="007F1E9E"/>
    <w:pPr>
      <w:ind w:left="720"/>
    </w:pPr>
  </w:style>
  <w:style w:type="character" w:customStyle="1" w:styleId="30">
    <w:name w:val="Заголовок 3 Знак"/>
    <w:basedOn w:val="a0"/>
    <w:link w:val="3"/>
    <w:semiHidden/>
    <w:locked/>
    <w:rsid w:val="007F1E9E"/>
    <w:rPr>
      <w:rFonts w:ascii="Cambria" w:hAnsi="Cambria" w:cs="Times New Roman"/>
      <w:b/>
      <w:bCs/>
      <w:color w:val="4F81BD"/>
    </w:rPr>
  </w:style>
  <w:style w:type="paragraph" w:customStyle="1" w:styleId="Text05">
    <w:name w:val="Text_05 Знак"/>
    <w:basedOn w:val="5"/>
    <w:link w:val="Text050"/>
    <w:rsid w:val="007F1E9E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SimSun" w:hAnsi="Times New Roman"/>
      <w:color w:val="000000"/>
      <w:lang w:eastAsia="zh-CN"/>
    </w:rPr>
  </w:style>
  <w:style w:type="character" w:customStyle="1" w:styleId="Text050">
    <w:name w:val="Text_05 Знак Знак"/>
    <w:basedOn w:val="a0"/>
    <w:link w:val="Text05"/>
    <w:locked/>
    <w:rsid w:val="007F1E9E"/>
    <w:rPr>
      <w:rFonts w:ascii="Times New Roman" w:eastAsia="SimSun" w:hAnsi="Times New Roman" w:cs="Times New Roman"/>
      <w:color w:val="000000"/>
      <w:lang w:eastAsia="zh-CN"/>
    </w:rPr>
  </w:style>
  <w:style w:type="paragraph" w:customStyle="1" w:styleId="1">
    <w:name w:val="Абзац списка1"/>
    <w:basedOn w:val="a"/>
    <w:rsid w:val="00150A2C"/>
    <w:pPr>
      <w:ind w:left="720"/>
    </w:pPr>
    <w:rPr>
      <w:rFonts w:eastAsia="Calibri"/>
    </w:rPr>
  </w:style>
  <w:style w:type="paragraph" w:customStyle="1" w:styleId="Title04">
    <w:name w:val="Title_04"/>
    <w:basedOn w:val="4"/>
    <w:link w:val="Title040"/>
    <w:rsid w:val="000D0FDA"/>
    <w:pPr>
      <w:keepNext w:val="0"/>
      <w:widowControl w:val="0"/>
      <w:overflowPunct w:val="0"/>
      <w:autoSpaceDE w:val="0"/>
      <w:autoSpaceDN w:val="0"/>
      <w:adjustRightInd w:val="0"/>
      <w:spacing w:before="120" w:after="40" w:line="240" w:lineRule="exact"/>
      <w:textAlignment w:val="baseline"/>
    </w:pPr>
    <w:rPr>
      <w:rFonts w:eastAsia="SimSun"/>
      <w:bCs w:val="0"/>
      <w:smallCaps/>
      <w:color w:val="800000"/>
      <w:sz w:val="24"/>
      <w:szCs w:val="20"/>
      <w:lang w:eastAsia="zh-CN"/>
    </w:rPr>
  </w:style>
  <w:style w:type="character" w:customStyle="1" w:styleId="Title040">
    <w:name w:val="Title_04 Знак"/>
    <w:basedOn w:val="a0"/>
    <w:link w:val="Title04"/>
    <w:locked/>
    <w:rsid w:val="000D0FDA"/>
    <w:rPr>
      <w:rFonts w:eastAsia="SimSun"/>
      <w:b/>
      <w:smallCaps/>
      <w:color w:val="800000"/>
      <w:sz w:val="24"/>
      <w:lang w:val="ru-RU" w:eastAsia="zh-CN" w:bidi="ar-SA"/>
    </w:rPr>
  </w:style>
  <w:style w:type="table" w:styleId="a4">
    <w:name w:val="Table Grid"/>
    <w:basedOn w:val="a1"/>
    <w:locked/>
    <w:rsid w:val="0090322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6897"/>
    <w:pPr>
      <w:autoSpaceDE w:val="0"/>
      <w:autoSpaceDN w:val="0"/>
      <w:adjustRightInd w:val="0"/>
    </w:pPr>
    <w:rPr>
      <w:rFonts w:ascii="Dutch 80 1 BT" w:hAnsi="Dutch 80 1 BT" w:cs="Dutch 80 1 B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heumatolog.ru/experts/klinicheskie-rekomend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A47326-7FCA-4782-9C21-568258C4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3555</Words>
  <Characters>24351</Characters>
  <Application>Microsoft Office Word</Application>
  <DocSecurity>0</DocSecurity>
  <Lines>202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</dc:creator>
  <cp:lastModifiedBy>KorpanOU</cp:lastModifiedBy>
  <cp:revision>5</cp:revision>
  <dcterms:created xsi:type="dcterms:W3CDTF">2014-12-09T09:13:00Z</dcterms:created>
  <dcterms:modified xsi:type="dcterms:W3CDTF">2015-03-16T12:53:00Z</dcterms:modified>
</cp:coreProperties>
</file>