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BF" w:rsidRPr="005F4E89" w:rsidRDefault="002339BF" w:rsidP="0023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214C77" w:rsidRPr="00214C77" w:rsidRDefault="00214C77" w:rsidP="00214C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214C77" w:rsidRPr="00214C77" w:rsidRDefault="00214C77" w:rsidP="00214C77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</w:t>
      </w:r>
      <w:r w:rsidR="00E56C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proofErr w:type="spellStart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214C77" w:rsidRPr="00214C77" w:rsidRDefault="00214C77" w:rsidP="00214C77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214C77" w:rsidRPr="00214C77" w:rsidRDefault="00214C77" w:rsidP="00214C77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0190" cy="28511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д.м.н., профессор </w:t>
      </w:r>
      <w:proofErr w:type="spellStart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B111FA" w:rsidRDefault="00214C77" w:rsidP="00214C77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</w:t>
      </w:r>
    </w:p>
    <w:p w:rsidR="00214C77" w:rsidRPr="00214C77" w:rsidRDefault="00A94597" w:rsidP="00214C77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«30» ноября  2016</w:t>
      </w:r>
      <w:r w:rsidR="00214C77"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г.</w:t>
      </w:r>
    </w:p>
    <w:p w:rsidR="00B111FA" w:rsidRPr="00B111FA" w:rsidRDefault="00B111FA" w:rsidP="00B111FA">
      <w:pPr>
        <w:pStyle w:val="ab"/>
        <w:rPr>
          <w:sz w:val="28"/>
          <w:szCs w:val="28"/>
        </w:rPr>
      </w:pPr>
      <w:r w:rsidRPr="00B111FA">
        <w:rPr>
          <w:sz w:val="28"/>
          <w:szCs w:val="28"/>
        </w:rPr>
        <w:t>Дисциплина: поликлиническая терапия</w:t>
      </w:r>
    </w:p>
    <w:p w:rsidR="00B111FA" w:rsidRPr="00B111FA" w:rsidRDefault="00B111FA" w:rsidP="00B111FA">
      <w:pPr>
        <w:pStyle w:val="ab"/>
        <w:rPr>
          <w:sz w:val="28"/>
          <w:szCs w:val="28"/>
        </w:rPr>
      </w:pPr>
      <w:r w:rsidRPr="00B111FA">
        <w:rPr>
          <w:sz w:val="28"/>
          <w:szCs w:val="28"/>
        </w:rPr>
        <w:t>Специальность: лечебное дело</w:t>
      </w:r>
    </w:p>
    <w:p w:rsidR="00B111FA" w:rsidRPr="00B111FA" w:rsidRDefault="00B111FA" w:rsidP="00B111FA">
      <w:pPr>
        <w:rPr>
          <w:rFonts w:ascii="Times New Roman" w:hAnsi="Times New Roman" w:cs="Times New Roman"/>
          <w:sz w:val="28"/>
          <w:szCs w:val="28"/>
        </w:rPr>
      </w:pPr>
      <w:r w:rsidRPr="00B111FA">
        <w:rPr>
          <w:rFonts w:ascii="Times New Roman" w:hAnsi="Times New Roman" w:cs="Times New Roman"/>
          <w:sz w:val="28"/>
          <w:szCs w:val="28"/>
        </w:rPr>
        <w:t xml:space="preserve">Очно-заочное отделение   </w:t>
      </w:r>
    </w:p>
    <w:p w:rsidR="00B111FA" w:rsidRPr="00B111FA" w:rsidRDefault="00B111FA" w:rsidP="00B111FA">
      <w:pPr>
        <w:pStyle w:val="ab"/>
        <w:rPr>
          <w:b/>
          <w:bCs/>
          <w:sz w:val="28"/>
          <w:szCs w:val="28"/>
        </w:rPr>
      </w:pPr>
      <w:r w:rsidRPr="00B111FA">
        <w:rPr>
          <w:sz w:val="28"/>
          <w:szCs w:val="28"/>
        </w:rPr>
        <w:t>Семестр: 1</w:t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</w:r>
      <w:r w:rsidRPr="00B111FA">
        <w:rPr>
          <w:sz w:val="28"/>
          <w:szCs w:val="28"/>
        </w:rPr>
        <w:softHyphen/>
        <w:t xml:space="preserve">3,14   Курс: 7     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214C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ТЕМУ: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214C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ГЭРБ. Ведение больных в условиях поликлиники</w:t>
      </w:r>
      <w:r w:rsidRPr="00214C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преподавателей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201</w:t>
      </w:r>
      <w:r w:rsidR="00A945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практического занятия:</w:t>
      </w:r>
      <w:r w:rsidRPr="00214C7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ГЭРБ. Ведение больных в условиях поликлиники» в соответствии с ФГОС (2010), рабочей  программы  дисциплины поликлиническая терапия, утвержденной в 2013г. ректором Павловым В.Н.  </w:t>
      </w: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,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 Шуваева Л.Г.</w:t>
      </w:r>
    </w:p>
    <w:p w:rsidR="00214C77" w:rsidRPr="00214C77" w:rsidRDefault="00214C77" w:rsidP="00214C77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A94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на  заседании кафедры   « 30» ноября 2016  г. протокол № 4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 «</w:t>
      </w:r>
      <w:r w:rsidRPr="00214C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ГЭРБ. Ведение больных в условиях поликлиники</w:t>
      </w:r>
      <w:r w:rsidRPr="00214C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 темы: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ГЭРБ представляет собой хроническое воспаление слизистой  и подслизистой оболочек желудка с нарушением физиологической регенерации, прогрессирующей атрофией специализированного железистого эпителия, с нарушением моторной, преимущественно секреторной, и в ряде случаев эндокринной функции желудка, с разнообразными клиническими признаками. 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результатах исследований, ГЭРБ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страдают 50-80% взрослого населения и лишь 10-15% обращается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врачам. ГЭРБ занимает основное место среди всех болезней желудка (80-85%). Причины развития ГЭРБ разделяют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экзогенные и эндогенные. Основными экзогенными причинами являются нарушения режима и качества питания, плохое пережевывание пищи, длительный прием некоторых лекарственных препаратов (НПВП и др.), инфицирование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Helicobacter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pylori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злоупотребление алкоголем, курение,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дуоденогастральный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рефлюкс. Эндогенные причины осуществляют свое влияние на слизистую оболочку желудка через нервно-рефлекторные, гуморальные, токсические и иммунологические воздействия, которые наблюдаются при нарушении центральной нервной системы.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 хронический гастрит основывается на комплексной оценке клинической картины и результатов лабораторно-инструментального исследования. Решающее значение имеет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фиброэзофагогастродуоденоскопия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биопсией слизистой оболочки  из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антрального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и тела желудка.  Лечение больных ГЭРБ обычно проводится в амбулаторных условиях. Госпитализация показана больным  с выраженным болевым и диспепсическими синдромами при затруднениях  в дифференциальной диагностике.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страдающие ГЭРБ, находятся под диспансерным наблюдением с профилактическими осмотрами 2 раза в год для коррекции лечения и выработки плана обследования.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Динамическому эндоскопическому наблюдению подлежат пациенты с повышенным риском развития рака желудка и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предъязвенным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состоянием. Осмотры проводятся 1-2 раза в год, при необходимости исследование дополняется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гастробиопсией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овладение врачебными навыками ранней диагностики, профилактики, назначения лечения и диспансерного наблюдения больным ГЭРБ в условиях поликлиники.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формирования профессиональных компетенций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 должен знать: 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факторы риска ГЭРБ;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этиологию, патогенез и современную классификацию;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методику сбора жалоб, анамнеза заболевания, объективного обследования больного;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интерпретацию результатов лабораторно-инструментальных методов исследования;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врачебно-трудовой экспертизы;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средства этиотропной, патогенетической, симптоматической медикаментозной и немедикаментозной терапии;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клинических проявлений и лечения заболевания у больных разных возрастных групп и при сочетании патологии;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профилактики.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формирования профессиональных компетенций студент должен уметь: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раннюю диагностику ГЭРБ;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дифференцировать ГЭРБ с другими заболеваниями,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сходную симптоматику;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назначить план обследования;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оценить результаты клинических и лабораторно-инструментальных исследований;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осуществить, при необходимости, госпитализацию больного;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назначить лечение;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экспертизу нетрудоспособности;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комплекс профилактических мероприятий с применением медикаментозных и немедикаментозных методов лечения.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214C7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методами общеклинического обследования</w:t>
      </w:r>
      <w:r w:rsidRPr="00214C7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интерпретацией результатов лабораторных, инструментальных методов диагностики,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владеть методами оказания неотложной </w:t>
      </w:r>
      <w:proofErr w:type="spellStart"/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развернутого клинического диагноза, 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ведения медицинской документации,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медицинской, физической, психологической и социальной реабилитации.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14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Необходимые  базисные знания и умения: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-анатомо-физиологические особенности  органов и систем 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исследования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-возрастные особенности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 занятия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Продолжительность занятия: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часов.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Оснащение занятия: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плакаты, наборы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фиброгастроскопий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альбомы по фармакотерапии, наборы рентгенограмм, диапроектор.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7 .</w:t>
      </w:r>
      <w:r w:rsidRPr="00214C77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Содержание занятия.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7.3. ознакомление студентов с содержанием занятий. Изложение узловых методик практических приёмов по данной теме.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</w:t>
      </w:r>
      <w:proofErr w:type="gramStart"/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</w:t>
      </w:r>
      <w:proofErr w:type="gramEnd"/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выполнение лабораторных и исследований.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Тестовый контроль исходного уровня знаний: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или несколько правильных ответов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14C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ЦИТОПРОТЕКТИВНЫМ ДЕЙСТВИЕМ В ОТНОШЕНИИ СЛИЗИСТОЙ ОБОЛОЧКИ ЖЕЛУДКА И ДВЕНАДЦАТИПЕРСТНОЙ КИШКИ ОБЛАДАЕТ: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облепиховое масло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викалин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гастроцепин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сукрафальт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солкосерил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ДОСТОВЕРНЫМ ДИАГНОСТИЧЕСКИМ ТЕСТОМ ОСТРОГО ПАНКРЕАТИТА ЯВЛЯЕТСЯ: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боль в правом подреберье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коллапс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высокий уровень амилазы (диастазы) в крови и моче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гипогликемия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диарея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СЕЛЕКТИВНЫМ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СПАЗМОЛИТИКАМ, ПО ОТНОШЕНИЮ К ЖКТ ОТНОСЯТ: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дротаверин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платифиллин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мебеверин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верно 1, 2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верно 1, 3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СИНДРОМ ДИСПЕПСИИ ОПРЕДЕЛЯЕТСЯ КАК: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ощущение боли или дискомфорта (тяжесть, переполнение, раннее насыщение), локализованное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подложечновой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ближе к срединной линии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ощущение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подложечновой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изжога, отрыжка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ощущение боли или дискомфорта локализованное в правом подреберье, горечь во рту, выраженная слабость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слабость, недомогание,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изжога,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ИНГИБИТОРАМ ПРОТОНОВОГО  ОТНОСЯТ: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омепразол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итоприд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рабепразол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домперидон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эзомепразол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СТИМУЛЯТОРАМ МОТОРНО-ЭВАКУАТОРНОЙ ФУНКЦИИ ВЕРХНИХ ОТДЕЛОВ ЖКТ ОТНОСЯТСЯ: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домперидон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метоклопрамид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месалазин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мебеверин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сукральфат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7.  ОПРЕДЕЛЕНИЕ ИЗЖОГИ: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боль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боль или жжение в нижней трети грудины нередко после еды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боль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иррадиацией в левую руку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боль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иррадиацией в правое плечо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жжение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КЛИНИЧЕСКИЕ ПРОЯВЛЕНИЯ ГРЫЖИ ПИЩЕВОДНОГО ОТВЕРСТИЯ ДИАФРАГМЫ ОБУСЛОВЛЕНЫ: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недостаточностью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кардии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рефлюксом желудочного содержимого в пищеводе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пептическим эзофагитом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верно 1, 2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дуоденогастральным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рефлюксом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9. ЖГУЧИЕ БОЛИ У ОСНОВАНИЯ МЕЧЕВИДНОГО ОТРОСТКА С ИРРАДИАЦИЕЙ В ОБЛАСТЬ СЕРДЦА, ВОЗНИКАЮЩИЕ И УСИЛИВАЮЩИЕСЯ ЧЕРЕЗ ПОЛЧАСА ПОСЛЕ ЕДЫ, ПРИ ФИЗИЧЕСКОЙ НАГРУЗКЕ И НАКЛОНЕ ТУЛОВИЩА; ОНИ НЕ КУПИРУЮТСЯ ПОЛНОСТЬЮ АНТАЦИДАМИ. ОТМЕЧАЮТСЯ ТАКЖЕ ОТРЫЖКА ВОЗДУХОМ, ПРИСТУПЫ УДУШЬЯ, КАШЕЛЬ. ПРИ РЕНТГЕНОЛОГИЧЕСКОМ ИССЛЕДОВАНИИ  С БАРИЕВОЙ ВЗВЕСЬЮ – РЕФЛЮКС КОНТРАСТНОЙ МАССЫ ИЗ ЖЕЛУДКА В ПИЩЕВОД. ВСЕ ПЕРЕЧИСЛЕННОЕ ПОЗВОЛЯЕТ ЗАПОДОЗРИТЬ: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аксиальную (скользящую) грыжу пищеводного отверстия диафрагмы и рефлюкс-эзофагит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рак пищевода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бронхиальную астму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хронический гастрит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ахалазию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пищевода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ИЗ ПЕРЕЧИСЛЕННЫХ ПРЕПАРАТОВ К БЛОКАТОРАМ «ПРОТОННОГО НАСОСА» ОТНОСЯТ: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циметидин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альмагель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омепразол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пирензепин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пипольфен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Тестовый контроль конечного уровня знаний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4C77" w:rsidRPr="00214C77" w:rsidRDefault="00214C77" w:rsidP="00214C7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или несколько правильных ответов</w:t>
      </w:r>
    </w:p>
    <w:p w:rsidR="00214C77" w:rsidRPr="00214C77" w:rsidRDefault="00214C77" w:rsidP="00214C7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РЕЦЕПТОРЫ ГИСТАМИНА БЛОКИРУЕТ: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димедрол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метацин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альмагель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атропин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ранитидин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УКАЖИТЕ ВОЗМОЖНЫЕ ПОБОЧНЫЕ ЭФФЕКТЫ АНТАЦИДОВ: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метеоризм и отрыжка из-за образования углекислого газа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изменение окраски кала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системный метаболический алкалоз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накопление в организме ионов кальция, магния, натрия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метеоризм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СНЯТИЯ БОЛЕЙ ПРИ ГРЫЖЕ ПИЩЕВОДНОГО ОТВЕРСТИЯ ДИАФРАГМЫ НАИБОЛЕЕ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ЭФФЕКТИВЕН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ранитидин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плапифиллин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дротаверин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церукал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седуксен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СТРИКТУРА ПИЩЕВОДА ОБЫЧНО ОБУСЛОВЛЕНА: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пептической язвой пищевода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хронической пневмонией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язвенной болезнью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катаральным рефлюкс-эзофагитом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ущемлением грыжи пищеводного отверстия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ДИСПЕПСИИ ОПРЕДЕЛЯЕТСЯ КАК: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ощущение боли или дискомфорта (тяжесть, переполнение, раннее </w:t>
      </w:r>
      <w:proofErr w:type="gramEnd"/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насыщение), локализованное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подложечновой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ближе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срединной линии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ощущение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подложечновой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изжога, отрыжка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щущение боли или дискомфорта локализованное в правом 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подреберье, горечь во рту, выраженная слабость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слабость, недомогание,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нет правильного ответа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КАКОГО ИЗ ПЕРЕЧИСЛЕННЫХ ЗАБОЛЕВАНИЙ ТИПИЧНА ДИСФАГИЯ: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 ГЭРБ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склеродермия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рак пищевода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дивертикул пищевода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всех указанных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ЛЕКАРСТВЕННОЕ РАСТЕНИЕ, СТИМУЛИРУЮЩЕЕ СЕКРЕТОРНУЮ ФУНКЦИЮ ЖЕЛУДКА: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 душица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 мята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подорожник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 укроп</w:t>
      </w:r>
    </w:p>
    <w:p w:rsidR="00214C77" w:rsidRPr="00214C77" w:rsidRDefault="00214C77" w:rsidP="00214C77">
      <w:pPr>
        <w:keepNext/>
        <w:keepLines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rebuchet MS" w:eastAsia="Times New Roman" w:hAnsi="Trebuchet MS" w:cs="Arial"/>
          <w:sz w:val="30"/>
          <w:szCs w:val="30"/>
          <w:lang w:eastAsia="ru-RU"/>
        </w:rPr>
        <w:t>РАННИЕ БОЛИ В ЭПИГАСТРАЛЬНОЙ ОБЛАСТИ ВОЗНИКАЮТ ПОСЛЕ ЕДЫ В ТЕЧЕНИЕ:</w:t>
      </w:r>
      <w:r w:rsidRPr="00214C77">
        <w:rPr>
          <w:rFonts w:ascii="Trebuchet MS" w:eastAsia="Times New Roman" w:hAnsi="Trebuchet MS" w:cs="Arial"/>
          <w:sz w:val="30"/>
          <w:szCs w:val="30"/>
          <w:lang w:eastAsia="ru-RU"/>
        </w:rPr>
        <w:br/>
        <w:t>1. 30 минут</w:t>
      </w:r>
      <w:r w:rsidRPr="00214C77">
        <w:rPr>
          <w:rFonts w:ascii="Trebuchet MS" w:eastAsia="Times New Roman" w:hAnsi="Trebuchet MS" w:cs="Arial"/>
          <w:sz w:val="30"/>
          <w:szCs w:val="30"/>
          <w:lang w:eastAsia="ru-RU"/>
        </w:rPr>
        <w:br/>
        <w:t>2. 2 часов</w:t>
      </w:r>
      <w:r w:rsidRPr="00214C77">
        <w:rPr>
          <w:rFonts w:ascii="Trebuchet MS" w:eastAsia="Times New Roman" w:hAnsi="Trebuchet MS" w:cs="Arial"/>
          <w:sz w:val="30"/>
          <w:szCs w:val="30"/>
          <w:lang w:eastAsia="ru-RU"/>
        </w:rPr>
        <w:br/>
        <w:t>3. 3 часов</w:t>
      </w:r>
      <w:r w:rsidRPr="00214C77">
        <w:rPr>
          <w:rFonts w:ascii="Trebuchet MS" w:eastAsia="Times New Roman" w:hAnsi="Trebuchet MS" w:cs="Arial"/>
          <w:sz w:val="30"/>
          <w:szCs w:val="30"/>
          <w:lang w:eastAsia="ru-RU"/>
        </w:rPr>
        <w:br/>
        <w:t>4. 4 часов</w:t>
      </w:r>
    </w:p>
    <w:p w:rsidR="00214C77" w:rsidRPr="00214C77" w:rsidRDefault="00214C77" w:rsidP="00214C77">
      <w:pPr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СТИМУЛЯЦИИ ЖЕЛУДОЧНОЙ СЕКРЕЦИИ ПРИМЕНЯЮТ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1.пентагастрин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2.растительное масло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3.сульфат бария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4.сульфат магния</w:t>
      </w:r>
    </w:p>
    <w:p w:rsidR="00214C77" w:rsidRPr="00214C77" w:rsidRDefault="00214C77" w:rsidP="00214C77">
      <w:pPr>
        <w:keepNext/>
        <w:keepLines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ind w:left="142" w:hanging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ПОЗДНИЕ, «ГОЛОДНЫЕ», НОЧНЫЕ БОЛИ ХАРАКТЕРНЫ ДЛЯ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1.хронического гастрита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2.язвенной болезни желудка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3.язвенной болезни 12-перстной кишки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4.цирроза печени</w:t>
      </w:r>
    </w:p>
    <w:p w:rsidR="00214C77" w:rsidRPr="00214C77" w:rsidRDefault="00214C77" w:rsidP="00214C77">
      <w:pPr>
        <w:keepNext/>
        <w:keepLines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Ситуационные задачи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Задача №1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поликлинику обратился больной 25лет с жалобами на боли в животе, 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которые возникают через  20 - 30 минут после еды и т.н. "голодные" боли. Больного беспокоят мучительная изжога, отрыжка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кислым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запоры. При пальпации локальная болезненность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пилородуоденальной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При рН - метрии - секреторная активность повышена. При эндоскопии - пятнистость, гиперемия, отечность слизистой оболочки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антрального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желудка. При гистологическом исследовании биоптата - гиперплазия покровного эпителия, выявление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Helicobacter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pylori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локализацией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антруме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развернутый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тактику ведения больного.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Проведите врачебно-трудовую экспертизу.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Назначьте лечение, выпишите рецепты.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Задача №2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Д., 38 лет, обратился к участковому врачу с жалобами на изжогу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кислым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чувство давления, жжения и распирания в подложечной области, запоры. Объективно: общее состояние удовлетворительное, язык обложен беловатым налетом густо у корня, живот болезненный в области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эпигастрия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АД 120/180 мм рт. ст., ЧД – 20 в минуту, ЧСС – 68 ударов в минуту.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предварительный диагноз.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Назначьте наиболее информативные методы исследования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C77" w:rsidRPr="00214C77" w:rsidRDefault="00214C77" w:rsidP="00214C77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верификации диагноза:</w:t>
      </w:r>
    </w:p>
    <w:p w:rsidR="00214C77" w:rsidRPr="00214C77" w:rsidRDefault="00214C77" w:rsidP="00214C77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рентгеноскопия;</w:t>
      </w:r>
    </w:p>
    <w:p w:rsidR="00214C77" w:rsidRPr="00214C77" w:rsidRDefault="00214C77" w:rsidP="00214C77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фиброгастроскопия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214C77" w:rsidRPr="00214C77" w:rsidRDefault="00214C77" w:rsidP="00214C77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Проведите врачебно-трудовую экспертизу.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Определите тактику лечения:</w:t>
      </w:r>
    </w:p>
    <w:p w:rsidR="00214C77" w:rsidRPr="00214C77" w:rsidRDefault="00214C77" w:rsidP="00214C77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амбулаторное лечение;</w:t>
      </w:r>
    </w:p>
    <w:p w:rsidR="00214C77" w:rsidRPr="00214C77" w:rsidRDefault="00214C77" w:rsidP="00214C77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госпитализация в стационар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</w:p>
    <w:p w:rsidR="00214C77" w:rsidRPr="00214C77" w:rsidRDefault="00214C77" w:rsidP="00214C77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антагонисты Н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рецепторов гистамина;</w:t>
      </w:r>
    </w:p>
    <w:p w:rsidR="00214C77" w:rsidRPr="00214C77" w:rsidRDefault="00214C77" w:rsidP="00214C77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кортикостероиды;</w:t>
      </w:r>
    </w:p>
    <w:p w:rsidR="00214C77" w:rsidRPr="00214C77" w:rsidRDefault="00214C77" w:rsidP="00214C77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ферментативные препараты.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Определите тактику диспансерного наблюдения.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№3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К., 25 лет, обратился к участковому врачу с жалобами на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возникающие через 20-30 минут после еды, постоянную изжогу, тошноту, была однократная рвота. Подобная симптоматика обычно наблюдается в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весеннее-осенние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периоды. Не обследовался, не лечился.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кожа обычной окраски, ладони влажные, органы дыхания без патологии, ЧСС 87 ударов в минуту, АД 125/80 мм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Язык влажный, обложен умеренно белым налетом, живот мягкий, болезненный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симптом Менделя отрицательный, стул – запоры. 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ФГС – слизистая желудка гиперемирована, отечна,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антральном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множественные мелкоточечные эрозии неполного типа, рН 1,9. ОАК, ОАМ без особенностей, реакция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Грегерсена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отрицательная.</w:t>
      </w:r>
    </w:p>
    <w:p w:rsidR="00214C77" w:rsidRPr="00214C77" w:rsidRDefault="00214C77" w:rsidP="00214C7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клинический диагноз.</w:t>
      </w:r>
    </w:p>
    <w:p w:rsidR="00214C77" w:rsidRPr="00214C77" w:rsidRDefault="00214C77" w:rsidP="00214C7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тактику ведения больного.</w:t>
      </w:r>
    </w:p>
    <w:p w:rsidR="00214C77" w:rsidRPr="00214C77" w:rsidRDefault="00214C77" w:rsidP="00214C7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врачебно-трудовую экспертизу.</w:t>
      </w:r>
    </w:p>
    <w:p w:rsidR="00214C77" w:rsidRPr="00214C77" w:rsidRDefault="00214C77" w:rsidP="00214C7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Назначьте лечение, выпишите рецепты.</w:t>
      </w:r>
    </w:p>
    <w:p w:rsidR="00214C77" w:rsidRPr="00214C77" w:rsidRDefault="00214C77" w:rsidP="00214C7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№4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Больная, 44 лет, обратилась к врачу с жалобами на чувство тяжести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после еды, отрыжку "тухлым яйцом", периодические поносы.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кожа обычной окраски, органы дыхания и  кровообращения без патологии. Язык густо обложен белым налетом, влажный. Живот мягкий, болезненный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Печень и селезенка не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крови: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Нв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- 120 г/л, лейкоциты 6,8х10</w:t>
      </w:r>
      <w:r w:rsidRPr="00214C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СОЭ - </w:t>
      </w:r>
      <w:smartTag w:uri="urn:schemas-microsoft-com:office:smarttags" w:element="metricconverter">
        <w:smartTagPr>
          <w:attr w:name="ProductID" w:val="3 мм"/>
        </w:smartTagPr>
        <w:r w:rsidRPr="00214C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мм</w:t>
        </w:r>
      </w:smartTag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/ч.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желудочной секреции пробным  завтраком: свободная соляная кислота, общая - 10, связанная - 5, пепсин - 0,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пепсиноген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мочи - 0.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предварительный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может быть обнаружено при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гастробиопсии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называется отсутствие пепсина в желудочном соке?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Лечебная тактика.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№5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Н., 38 лет, обратился с жалобами на тяжесть, распирание в  подложечной области, отрыжку воздухом, тухлым, частые поносы.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общее состояние ближе к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удовлетворительному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телосложение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нормостеническое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язык обложен беловатым налетом, "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заеды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углах рта",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пальпаторно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болезненность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Лабораторные данные: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скопия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желудка - рельеф слизистой сглажен, тонус, перистальтика ослаблены, эвакуация желудочного содержимого ускорена. На ФГС диффузное истончение слизистой, цвет бледный, видны сосуды подслизистого слоя,   ОАК -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мегалобластная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анемия.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развернутый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тактику ведения больного:</w:t>
      </w:r>
    </w:p>
    <w:p w:rsidR="00214C77" w:rsidRPr="00214C77" w:rsidRDefault="00214C77" w:rsidP="00214C77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амбулаторное лечение;</w:t>
      </w:r>
    </w:p>
    <w:p w:rsidR="00214C77" w:rsidRPr="00214C77" w:rsidRDefault="00214C77" w:rsidP="00214C77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госпитализация в стационар;</w:t>
      </w:r>
    </w:p>
    <w:p w:rsidR="00214C77" w:rsidRPr="00214C77" w:rsidRDefault="00214C77" w:rsidP="00214C77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дообследование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3.Проведите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трудовую экспертизу с определением средних сроков временной нетрудоспособности.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Назначьте лечение, выпишите рецепты.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№6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приемный покой  городской клинической больницы обратился больной К., 36 лет, с жалобами на сильные схваткообразные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возникающие после еды, а также тошноту, изжогу, чувство распирания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приема пищи, слабость, раздражительность. В анамнезе: больной принимал бесконтрольно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индометацин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поводу ревматоидного артрита в течение 3 мес.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язык влажный, обложен белым налетом, живот мягкий, умеренно напряжен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пальпации отмечает резкую болезненность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стул неустойчив, на ФГС признаки острого гастрита.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развернутый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тактику ведения больного: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№7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Больная С., 43 лет, обратилась в поликлинику с жалобами на изжогу, тяжесть, тупые боли в правом подреберье и в подложечной области после еды, иногда по утрам горечь во рту. В анамнезе хронический холецистит. Ухудшение состояния отмечает после нервно-психического перенапряжения.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язык обложен желтовато-беловатым налетом, боли при пальпации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правом подреберье, неустойчивый стул.  На ФГС гиперемия, гипертрофия складок, отек, наличие слизи и желчи. УЗИ – желчный пузырь увеличен, толщина стенки </w:t>
      </w:r>
      <w:smartTag w:uri="urn:schemas-microsoft-com:office:smarttags" w:element="metricconverter">
        <w:smartTagPr>
          <w:attr w:name="ProductID" w:val="4 мм"/>
        </w:smartTagPr>
        <w:r w:rsidRPr="00214C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мм</w:t>
        </w:r>
      </w:smartTag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Сформулируйте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необходимость дополнительных методов исследования.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Проведите экспертизу нетрудоспособности:</w:t>
      </w:r>
    </w:p>
    <w:p w:rsidR="00214C77" w:rsidRPr="00214C77" w:rsidRDefault="00214C77" w:rsidP="00214C77">
      <w:pPr>
        <w:widowControl w:val="0"/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трудоспособен</w:t>
      </w:r>
    </w:p>
    <w:p w:rsidR="00214C77" w:rsidRPr="00214C77" w:rsidRDefault="00214C77" w:rsidP="00214C77">
      <w:pPr>
        <w:widowControl w:val="0"/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нетрудоспособен</w:t>
      </w:r>
    </w:p>
    <w:p w:rsidR="00214C77" w:rsidRPr="00214C77" w:rsidRDefault="00214C77" w:rsidP="00214C77">
      <w:pPr>
        <w:widowControl w:val="0"/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№8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Больная К., 65 лет, обратилась с жалобами на тяжесть, распирание, тупые боли в подложечной области, тошноту, отрыжку «тухлым», урчание, вздутие живота. В анамнезе хронический гастрит с 30 лет.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язык обложен, сухость кожных покровов, "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заеды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углах рта", ногти изменены, живот мягкий, болезненность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склонность к поносам.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Сформулируйте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диагностические мероприятия назначите:</w:t>
      </w:r>
    </w:p>
    <w:p w:rsidR="00214C77" w:rsidRPr="00214C77" w:rsidRDefault="00214C77" w:rsidP="00214C77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рентгенологическое исследование;</w:t>
      </w:r>
    </w:p>
    <w:p w:rsidR="00214C77" w:rsidRPr="00214C77" w:rsidRDefault="00214C77" w:rsidP="00214C77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гистологическое исследование биоптата слизистой оболочки;</w:t>
      </w:r>
    </w:p>
    <w:p w:rsidR="00214C77" w:rsidRPr="00214C77" w:rsidRDefault="00214C77" w:rsidP="00214C77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секреторной функции желудка;</w:t>
      </w:r>
    </w:p>
    <w:p w:rsidR="00214C77" w:rsidRPr="00214C77" w:rsidRDefault="00214C77" w:rsidP="00214C77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эндоскопическое исследование.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№9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поликлинику обратился больной С., 23 лет, с жалобами на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возникающие натощак и через 1,5-2 часа после еды,  изжогу кислым,  наклонность к запорам.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Подобная симптоматика появилась впервые.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язык обложен,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резкая болезненность при пальпации. На ФГС - множественные эрозии неполного типа округлой формы, преимущественно в выходном отделе желудка на фоне поверхностного гастрита.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Сформулируйте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 . Определите тактику лечения: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амбулаторное лечение;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дневной стационар.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 №10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Д., 37 лет, обратился в поликлинику  с жалобами на изжогу, отрыжку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кислым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тяжесть, тупые боли в подложечной области после еды.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язык обложен, боли при пальпации в подложечной области, запор. На ФГС - покраснение, гипертрофия складок, отек, наличие слизи, кислотность повышена.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Сформулируйте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тактику лечения:</w:t>
      </w:r>
    </w:p>
    <w:p w:rsidR="00214C77" w:rsidRPr="00214C77" w:rsidRDefault="00214C77" w:rsidP="00214C77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амбулаторное лечение;</w:t>
      </w:r>
    </w:p>
    <w:p w:rsidR="00214C77" w:rsidRPr="00214C77" w:rsidRDefault="00214C77" w:rsidP="00214C77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госпитализация.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группы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 самоподготовки</w:t>
      </w:r>
      <w:r w:rsidRPr="00214C7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Учебно-исследовательская работа студентов</w:t>
      </w:r>
    </w:p>
    <w:p w:rsidR="00214C77" w:rsidRPr="00214C77" w:rsidRDefault="00214C77" w:rsidP="00214C77">
      <w:pPr>
        <w:keepNext/>
        <w:keepLines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 ГЭРБ;</w:t>
      </w:r>
    </w:p>
    <w:p w:rsidR="00214C77" w:rsidRPr="00214C77" w:rsidRDefault="00214C77" w:rsidP="00214C77">
      <w:pPr>
        <w:keepNext/>
        <w:keepLines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за больными с ГЭРБ;</w:t>
      </w:r>
    </w:p>
    <w:p w:rsidR="00214C77" w:rsidRPr="00214C77" w:rsidRDefault="00214C77" w:rsidP="00214C77">
      <w:pPr>
        <w:keepNext/>
        <w:keepLines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различных видов трудовой деятельности на развитие хронического гастрита;</w:t>
      </w:r>
    </w:p>
    <w:p w:rsidR="00214C77" w:rsidRPr="00214C77" w:rsidRDefault="00214C77" w:rsidP="00214C77">
      <w:pPr>
        <w:keepNext/>
        <w:keepLines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 при ГЭРБ.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 к вариантам тестов по контролю исходного и конечного уровня знаний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4423"/>
      </w:tblGrid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исходного уровня знаний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конечного уровня знаний</w:t>
            </w:r>
          </w:p>
        </w:tc>
      </w:tr>
      <w:tr w:rsidR="00214C77" w:rsidRPr="00214C77" w:rsidTr="00DB1AD1">
        <w:trPr>
          <w:trHeight w:val="415"/>
        </w:trPr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1,3,5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ответа на ситуационные задачи.</w:t>
      </w:r>
    </w:p>
    <w:p w:rsidR="00214C77" w:rsidRPr="00214C77" w:rsidRDefault="00214C77" w:rsidP="00214C7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на задачу №1</w:t>
      </w:r>
    </w:p>
    <w:p w:rsidR="00214C77" w:rsidRPr="00214C77" w:rsidRDefault="00214C77" w:rsidP="00214C7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Хронический гастрит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антрального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ассоциированный с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Helicobacter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pylori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среднетяжелое течение, фаза обострения. </w:t>
      </w:r>
    </w:p>
    <w:p w:rsidR="00214C77" w:rsidRPr="00214C77" w:rsidRDefault="00214C77" w:rsidP="00214C7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в амбулаторных условиях.</w:t>
      </w:r>
    </w:p>
    <w:p w:rsidR="00214C77" w:rsidRPr="00214C77" w:rsidRDefault="00214C77" w:rsidP="00214C7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нетрудоспособен в течение 7 -10 дней.</w:t>
      </w:r>
    </w:p>
    <w:p w:rsidR="00214C77" w:rsidRPr="00214C77" w:rsidRDefault="00214C77" w:rsidP="00214C77">
      <w:pPr>
        <w:keepNext/>
        <w:keepLines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Лечение:  диета №1,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пилорид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 мг 2 раза в день 4 недели,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кларитромицин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 мг 2 раза в день + амоксициллин </w:t>
      </w:r>
      <w:smartTag w:uri="urn:schemas-microsoft-com:office:smarttags" w:element="metricconverter">
        <w:smartTagPr>
          <w:attr w:name="ProductID" w:val="1,0 г"/>
        </w:smartTagPr>
        <w:r w:rsidRPr="00214C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1,0 г</w:t>
        </w:r>
      </w:smartTag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 день 7 -10 дней; ИРТ.</w:t>
      </w:r>
    </w:p>
    <w:p w:rsidR="00214C77" w:rsidRPr="00214C77" w:rsidRDefault="00214C77" w:rsidP="00214C7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№2</w:t>
      </w:r>
    </w:p>
    <w:p w:rsidR="00214C77" w:rsidRPr="00214C77" w:rsidRDefault="00214C77" w:rsidP="00214C77">
      <w:pPr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Хронический гастрит тип</w:t>
      </w: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среднетяжелое течение, фаза обострения.</w:t>
      </w:r>
    </w:p>
    <w:p w:rsidR="00214C77" w:rsidRPr="00214C77" w:rsidRDefault="00214C77" w:rsidP="00214C77">
      <w:pPr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б);</w:t>
      </w:r>
    </w:p>
    <w:p w:rsidR="00214C77" w:rsidRPr="00214C77" w:rsidRDefault="00214C77" w:rsidP="00214C77">
      <w:pPr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Временная нетрудоспособность 5-7 дней;</w:t>
      </w:r>
    </w:p>
    <w:p w:rsidR="00214C77" w:rsidRPr="00214C77" w:rsidRDefault="00214C77" w:rsidP="00214C77">
      <w:pPr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Амбулаторное лечение;</w:t>
      </w:r>
    </w:p>
    <w:p w:rsidR="00214C77" w:rsidRPr="00214C77" w:rsidRDefault="00214C77" w:rsidP="00214C77">
      <w:pPr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№3</w:t>
      </w:r>
    </w:p>
    <w:p w:rsidR="00214C77" w:rsidRPr="00214C77" w:rsidRDefault="00214C77" w:rsidP="00214C77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Хронический </w:t>
      </w: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гастрит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ассоциированный с НР, множественные мелкоточечные эрозии неполного типа в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антральном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отделе, среднетяжелое течение, фаза обострения;</w:t>
      </w:r>
    </w:p>
    <w:p w:rsidR="00214C77" w:rsidRPr="00214C77" w:rsidRDefault="00214C77" w:rsidP="00214C77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Амбулаторное лечение и в условиях дневного стационара поликлиники;</w:t>
      </w:r>
    </w:p>
    <w:p w:rsidR="00214C77" w:rsidRPr="00214C77" w:rsidRDefault="00214C77" w:rsidP="00214C77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Временная нетрудоспособность 7-10 дней;</w:t>
      </w:r>
    </w:p>
    <w:p w:rsidR="00214C77" w:rsidRPr="00214C77" w:rsidRDefault="00214C77" w:rsidP="00214C77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№4</w:t>
      </w:r>
    </w:p>
    <w:p w:rsidR="00214C77" w:rsidRPr="00214C77" w:rsidRDefault="00214C77" w:rsidP="00214C77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Хронический атрофический гастрит, фаза обострения;</w:t>
      </w:r>
    </w:p>
    <w:p w:rsidR="00214C77" w:rsidRPr="00214C77" w:rsidRDefault="00214C77" w:rsidP="00214C77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ФГС можно обнаружить диффузную или очаговую бледность и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истонченность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слизистой желудка;</w:t>
      </w:r>
    </w:p>
    <w:p w:rsidR="00214C77" w:rsidRPr="00214C77" w:rsidRDefault="00214C77" w:rsidP="00214C77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Пепсин;</w:t>
      </w:r>
    </w:p>
    <w:p w:rsidR="00214C77" w:rsidRPr="00214C77" w:rsidRDefault="00214C77" w:rsidP="00214C77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Лечение: соблюдение диеты, заместительная терапия (натуральный желудочный сок с пепсином,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ацидопепсин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др.), </w:t>
      </w: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препараты улучшающие микроциркуляцию, фитотерапия.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№5</w:t>
      </w:r>
    </w:p>
    <w:p w:rsidR="00214C77" w:rsidRPr="00214C77" w:rsidRDefault="00214C77" w:rsidP="00214C77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Хронический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атрофический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пангастрит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среднетяжелое течение, фаза обострения. В12-дефицитная анемия.</w:t>
      </w:r>
    </w:p>
    <w:p w:rsidR="00214C77" w:rsidRPr="00214C77" w:rsidRDefault="00214C77" w:rsidP="00214C77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б);</w:t>
      </w:r>
    </w:p>
    <w:p w:rsidR="00214C77" w:rsidRPr="00214C77" w:rsidRDefault="00214C77" w:rsidP="00214C77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Временная нетрудоспособность 14-21 день;</w:t>
      </w:r>
    </w:p>
    <w:p w:rsidR="00214C77" w:rsidRPr="00214C77" w:rsidRDefault="00214C77" w:rsidP="00214C77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Лечение.</w:t>
      </w:r>
    </w:p>
    <w:p w:rsidR="00214C77" w:rsidRPr="00214C77" w:rsidRDefault="00214C77" w:rsidP="00214C77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№6</w:t>
      </w:r>
    </w:p>
    <w:p w:rsidR="00214C77" w:rsidRPr="00214C77" w:rsidRDefault="00214C77" w:rsidP="00214C77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НПВП-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гастропатия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фоне приема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индометацина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4C77" w:rsidRPr="00214C77" w:rsidRDefault="00214C77" w:rsidP="00214C77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Отмена препарата, лечение в условиях поликлиники или дневного стационара по схеме лечения ХГ с повышенной кислотностью. В дальнейшем подбор НПВП, соблюдение режима приема и под «защитой» антацидов;</w:t>
      </w:r>
    </w:p>
    <w:p w:rsidR="00214C77" w:rsidRPr="00214C77" w:rsidRDefault="00214C77" w:rsidP="00214C77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№7</w:t>
      </w:r>
    </w:p>
    <w:p w:rsidR="00214C77" w:rsidRPr="00214C77" w:rsidRDefault="00214C77" w:rsidP="00214C77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Хронический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рефлюкс-гастрит, фаза обострения.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Хронический холецистит с дисфункцией сфинктера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Одди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гипотоническому типу, период обострения;</w:t>
      </w:r>
    </w:p>
    <w:p w:rsidR="00214C77" w:rsidRPr="00214C77" w:rsidRDefault="00214C77" w:rsidP="00214C77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б);</w:t>
      </w:r>
    </w:p>
    <w:p w:rsidR="00214C77" w:rsidRPr="00214C77" w:rsidRDefault="00214C77" w:rsidP="00214C77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№8</w:t>
      </w:r>
    </w:p>
    <w:p w:rsidR="00214C77" w:rsidRPr="00214C77" w:rsidRDefault="00214C77" w:rsidP="00214C77">
      <w:pPr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Хронический атрофический гастрит, средней тяжести, фаза обострения. В12- дефицитная анемия.</w:t>
      </w:r>
    </w:p>
    <w:p w:rsidR="00214C77" w:rsidRPr="00214C77" w:rsidRDefault="00214C77" w:rsidP="00214C77">
      <w:pPr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б);</w:t>
      </w:r>
    </w:p>
    <w:p w:rsidR="00214C77" w:rsidRPr="00214C77" w:rsidRDefault="00214C77" w:rsidP="00214C77">
      <w:pPr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№9</w:t>
      </w:r>
    </w:p>
    <w:p w:rsidR="00214C77" w:rsidRPr="00214C77" w:rsidRDefault="00214C77" w:rsidP="00214C77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Хронический </w:t>
      </w: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гастрит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ассоциированный с НР, множественные эрозии неполного типа в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антральном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 желудка, среднетяжелое течение, фаза обострения;</w:t>
      </w:r>
    </w:p>
    <w:p w:rsidR="00214C77" w:rsidRPr="00214C77" w:rsidRDefault="00214C77" w:rsidP="00214C77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 в амбулаторных условиях;</w:t>
      </w:r>
    </w:p>
    <w:p w:rsidR="00214C77" w:rsidRPr="00214C77" w:rsidRDefault="00214C77" w:rsidP="00214C77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№10</w:t>
      </w:r>
    </w:p>
    <w:p w:rsidR="00214C77" w:rsidRPr="00214C77" w:rsidRDefault="00214C77" w:rsidP="00214C77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Хронический </w:t>
      </w: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гастрит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ассоциированный с НР, среднетяжелое течение, фаза обострения;</w:t>
      </w:r>
    </w:p>
    <w:p w:rsidR="00214C77" w:rsidRPr="00214C77" w:rsidRDefault="00214C77" w:rsidP="00214C77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 в амбулаторных условиях;</w:t>
      </w:r>
    </w:p>
    <w:p w:rsidR="00214C77" w:rsidRPr="00214C77" w:rsidRDefault="00214C77" w:rsidP="00214C77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4B0E32" w:rsidRPr="004B0E32" w:rsidRDefault="003C0B61" w:rsidP="004B0E3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4B0E32" w:rsidRPr="004B0E32">
        <w:rPr>
          <w:sz w:val="28"/>
          <w:szCs w:val="28"/>
          <w:shd w:val="clear" w:color="auto" w:fill="FFFFFF"/>
        </w:rPr>
        <w:t xml:space="preserve">. Поликлиническая терапия: учебник/ Г. И. </w:t>
      </w:r>
      <w:proofErr w:type="spellStart"/>
      <w:r w:rsidR="004B0E32" w:rsidRPr="004B0E32">
        <w:rPr>
          <w:sz w:val="28"/>
          <w:szCs w:val="28"/>
          <w:shd w:val="clear" w:color="auto" w:fill="FFFFFF"/>
        </w:rPr>
        <w:t>Сторожаков</w:t>
      </w:r>
      <w:proofErr w:type="spellEnd"/>
      <w:r w:rsidR="004B0E32" w:rsidRPr="004B0E32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="004B0E32" w:rsidRPr="004B0E32">
        <w:rPr>
          <w:sz w:val="28"/>
          <w:szCs w:val="28"/>
          <w:shd w:val="clear" w:color="auto" w:fill="FFFFFF"/>
        </w:rPr>
        <w:t>Чукаева</w:t>
      </w:r>
      <w:proofErr w:type="spellEnd"/>
      <w:r w:rsidR="004B0E32" w:rsidRPr="004B0E32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="004B0E32" w:rsidRPr="004B0E32">
        <w:rPr>
          <w:sz w:val="28"/>
          <w:szCs w:val="28"/>
          <w:shd w:val="clear" w:color="auto" w:fill="FFFFFF"/>
        </w:rPr>
        <w:t>перераб</w:t>
      </w:r>
      <w:proofErr w:type="spellEnd"/>
      <w:r w:rsidR="004B0E32" w:rsidRPr="004B0E32">
        <w:rPr>
          <w:sz w:val="28"/>
          <w:szCs w:val="28"/>
          <w:shd w:val="clear" w:color="auto" w:fill="FFFFFF"/>
        </w:rPr>
        <w:t>. и доп.- М.: ГЭОТАР-МЕДИА, 2013-640 с</w:t>
      </w:r>
      <w:r w:rsidR="004B0E32" w:rsidRPr="004B0E32">
        <w:rPr>
          <w:sz w:val="28"/>
          <w:szCs w:val="28"/>
        </w:rPr>
        <w:t>.</w:t>
      </w:r>
    </w:p>
    <w:p w:rsidR="004B0E32" w:rsidRPr="004B0E32" w:rsidRDefault="003C0B61" w:rsidP="004B0E3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E32" w:rsidRPr="004B0E32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4B0E32" w:rsidRPr="004B0E32">
        <w:rPr>
          <w:sz w:val="28"/>
          <w:szCs w:val="28"/>
        </w:rPr>
        <w:t>Зюзенков</w:t>
      </w:r>
      <w:proofErr w:type="spellEnd"/>
      <w:r w:rsidR="004B0E32" w:rsidRPr="004B0E32">
        <w:rPr>
          <w:sz w:val="28"/>
          <w:szCs w:val="28"/>
        </w:rPr>
        <w:t xml:space="preserve"> (и др.); под редакцией М.В. </w:t>
      </w:r>
      <w:proofErr w:type="spellStart"/>
      <w:r w:rsidR="004B0E32" w:rsidRPr="004B0E32">
        <w:rPr>
          <w:sz w:val="28"/>
          <w:szCs w:val="28"/>
        </w:rPr>
        <w:t>Зюзенкова</w:t>
      </w:r>
      <w:proofErr w:type="spellEnd"/>
      <w:r w:rsidR="004B0E32" w:rsidRPr="004B0E32">
        <w:rPr>
          <w:sz w:val="28"/>
          <w:szCs w:val="28"/>
        </w:rPr>
        <w:t xml:space="preserve">. </w:t>
      </w:r>
      <w:proofErr w:type="gramStart"/>
      <w:r w:rsidR="004B0E32" w:rsidRPr="004B0E32">
        <w:rPr>
          <w:sz w:val="28"/>
          <w:szCs w:val="28"/>
        </w:rPr>
        <w:t>–М</w:t>
      </w:r>
      <w:proofErr w:type="gramEnd"/>
      <w:r w:rsidR="004B0E32" w:rsidRPr="004B0E32">
        <w:rPr>
          <w:sz w:val="28"/>
          <w:szCs w:val="28"/>
        </w:rPr>
        <w:t>инск: Высшая школа, 2012. – 608 с.</w:t>
      </w:r>
    </w:p>
    <w:p w:rsidR="004B0E32" w:rsidRPr="004B0E32" w:rsidRDefault="003C0B61" w:rsidP="004B0E3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E32" w:rsidRPr="004B0E32">
        <w:rPr>
          <w:sz w:val="28"/>
          <w:szCs w:val="28"/>
        </w:rPr>
        <w:t>. Поликлиническая терапия: учебник /под ред. И.Л. Давыдкина, Ю.В. Щукина. – М.:ГЭОТАР-Медиа, 2013. – 688 с.</w:t>
      </w:r>
    </w:p>
    <w:p w:rsidR="00214C77" w:rsidRPr="004B0E32" w:rsidRDefault="00214C77" w:rsidP="00214C7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Дополнительная литература:</w:t>
      </w:r>
    </w:p>
    <w:p w:rsidR="004B0E32" w:rsidRPr="004B0E32" w:rsidRDefault="004B0E32" w:rsidP="004B0E32">
      <w:pPr>
        <w:spacing w:after="0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E3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4B0E32">
        <w:rPr>
          <w:rFonts w:ascii="Times New Roman" w:hAnsi="Times New Roman" w:cs="Times New Roman"/>
          <w:color w:val="000000"/>
          <w:sz w:val="28"/>
          <w:szCs w:val="28"/>
        </w:rPr>
        <w:t>Гастроэзофагеальная</w:t>
      </w:r>
      <w:proofErr w:type="spellEnd"/>
      <w:r w:rsidRPr="004B0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0E32">
        <w:rPr>
          <w:rFonts w:ascii="Times New Roman" w:hAnsi="Times New Roman" w:cs="Times New Roman"/>
          <w:color w:val="000000"/>
          <w:sz w:val="28"/>
          <w:szCs w:val="28"/>
        </w:rPr>
        <w:t>рефлюксная</w:t>
      </w:r>
      <w:proofErr w:type="spellEnd"/>
      <w:r w:rsidRPr="004B0E32">
        <w:rPr>
          <w:rFonts w:ascii="Times New Roman" w:hAnsi="Times New Roman" w:cs="Times New Roman"/>
          <w:color w:val="000000"/>
          <w:sz w:val="28"/>
          <w:szCs w:val="28"/>
        </w:rPr>
        <w:t xml:space="preserve"> болезнь. Клинические рекомендации // Российская Гастроэнтерологическая Ассоциация. 2014. Москва-23 с.</w:t>
      </w:r>
    </w:p>
    <w:p w:rsidR="004B0E32" w:rsidRPr="004B0E32" w:rsidRDefault="004B0E32" w:rsidP="004B0E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E32">
        <w:rPr>
          <w:rFonts w:ascii="Times New Roman" w:hAnsi="Times New Roman" w:cs="Times New Roman"/>
          <w:sz w:val="28"/>
          <w:szCs w:val="28"/>
        </w:rPr>
        <w:t xml:space="preserve">2. Ивашкин В.Т., Трухманов А.С., Шептулин А.А., </w:t>
      </w:r>
      <w:proofErr w:type="spellStart"/>
      <w:r w:rsidRPr="004B0E32">
        <w:rPr>
          <w:rFonts w:ascii="Times New Roman" w:hAnsi="Times New Roman" w:cs="Times New Roman"/>
          <w:sz w:val="28"/>
          <w:szCs w:val="28"/>
        </w:rPr>
        <w:t>Баранская</w:t>
      </w:r>
      <w:proofErr w:type="spellEnd"/>
      <w:r w:rsidRPr="004B0E32">
        <w:rPr>
          <w:rFonts w:ascii="Times New Roman" w:hAnsi="Times New Roman" w:cs="Times New Roman"/>
          <w:sz w:val="28"/>
          <w:szCs w:val="28"/>
        </w:rPr>
        <w:t xml:space="preserve"> Е.К., Лапина Т.Л., </w:t>
      </w:r>
      <w:proofErr w:type="spellStart"/>
      <w:r w:rsidRPr="004B0E32">
        <w:rPr>
          <w:rFonts w:ascii="Times New Roman" w:hAnsi="Times New Roman" w:cs="Times New Roman"/>
          <w:sz w:val="28"/>
          <w:szCs w:val="28"/>
        </w:rPr>
        <w:t>Сторонова</w:t>
      </w:r>
      <w:proofErr w:type="spellEnd"/>
      <w:r w:rsidRPr="004B0E32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4B0E32">
        <w:rPr>
          <w:rFonts w:ascii="Times New Roman" w:hAnsi="Times New Roman" w:cs="Times New Roman"/>
          <w:sz w:val="28"/>
          <w:szCs w:val="28"/>
        </w:rPr>
        <w:t>Кайбышева</w:t>
      </w:r>
      <w:proofErr w:type="spellEnd"/>
      <w:r w:rsidRPr="004B0E32">
        <w:rPr>
          <w:rFonts w:ascii="Times New Roman" w:hAnsi="Times New Roman" w:cs="Times New Roman"/>
          <w:sz w:val="28"/>
          <w:szCs w:val="28"/>
        </w:rPr>
        <w:t xml:space="preserve"> В.О. </w:t>
      </w:r>
      <w:proofErr w:type="spellStart"/>
      <w:r w:rsidRPr="004B0E32">
        <w:rPr>
          <w:rFonts w:ascii="Times New Roman" w:hAnsi="Times New Roman" w:cs="Times New Roman"/>
          <w:sz w:val="28"/>
          <w:szCs w:val="28"/>
        </w:rPr>
        <w:t>Гастроэзофагеальная</w:t>
      </w:r>
      <w:proofErr w:type="spellEnd"/>
      <w:r w:rsidRPr="004B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E32">
        <w:rPr>
          <w:rFonts w:ascii="Times New Roman" w:hAnsi="Times New Roman" w:cs="Times New Roman"/>
          <w:sz w:val="28"/>
          <w:szCs w:val="28"/>
        </w:rPr>
        <w:t>рефлюксная</w:t>
      </w:r>
      <w:proofErr w:type="spellEnd"/>
      <w:r w:rsidRPr="004B0E32">
        <w:rPr>
          <w:rFonts w:ascii="Times New Roman" w:hAnsi="Times New Roman" w:cs="Times New Roman"/>
          <w:sz w:val="28"/>
          <w:szCs w:val="28"/>
        </w:rPr>
        <w:t xml:space="preserve"> болезнь. Рекомендации по диагностике и лечению. - М., - 2013.- 20 с.</w:t>
      </w:r>
    </w:p>
    <w:p w:rsidR="004B0E32" w:rsidRPr="004B0E32" w:rsidRDefault="004B0E32" w:rsidP="004B0E3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0E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Диетотерапия при заболеваниях</w:t>
      </w:r>
      <w:r w:rsidRPr="004B0E3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внутренних органов: учебное </w:t>
      </w:r>
      <w:proofErr w:type="spellStart"/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пособиедля</w:t>
      </w:r>
      <w:proofErr w:type="spellEnd"/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студентов, обучающихся по </w:t>
      </w:r>
      <w:proofErr w:type="gramStart"/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>спец</w:t>
      </w:r>
      <w:proofErr w:type="gramEnd"/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4B0E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Ч. 1</w:t>
      </w:r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4B0E32" w:rsidRPr="004B0E32" w:rsidRDefault="004B0E32" w:rsidP="004B0E3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Болезни желудка: монография/ И. В. </w:t>
      </w:r>
      <w:proofErr w:type="spellStart"/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>Маев</w:t>
      </w:r>
      <w:proofErr w:type="spellEnd"/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>, А. А. Самсонов, Д. Н. Андреев. - М.: ГЭОТАР-МЕДИА, 2015. - 973 с.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14C77" w:rsidRPr="00214C77" w:rsidSect="00482A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4C77" w:rsidRPr="00214C77" w:rsidRDefault="00214C77" w:rsidP="00214C77">
      <w:pPr>
        <w:widowControl w:val="0"/>
        <w:tabs>
          <w:tab w:val="left" w:pos="142"/>
          <w:tab w:val="lef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СТРУКТУРА ЗАНЯТИЯ (ТЕХНОЛОГИЧЕСКАЯ КАРТА)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992"/>
        <w:gridCol w:w="2664"/>
        <w:gridCol w:w="1589"/>
        <w:gridCol w:w="2835"/>
        <w:gridCol w:w="3260"/>
      </w:tblGrid>
      <w:tr w:rsidR="00214C77" w:rsidRPr="00214C77" w:rsidTr="00DB1AD1">
        <w:tc>
          <w:tcPr>
            <w:tcW w:w="534" w:type="dxa"/>
            <w:vMerge w:val="restart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3118" w:type="dxa"/>
            <w:vMerge w:val="restart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занятия и их содержание</w:t>
            </w:r>
          </w:p>
        </w:tc>
        <w:tc>
          <w:tcPr>
            <w:tcW w:w="992" w:type="dxa"/>
            <w:vMerge w:val="restart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2664" w:type="dxa"/>
            <w:vMerge w:val="restart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Используемые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пособия</w:t>
            </w:r>
          </w:p>
        </w:tc>
        <w:tc>
          <w:tcPr>
            <w:tcW w:w="1589" w:type="dxa"/>
            <w:vMerge w:val="restart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6095" w:type="dxa"/>
            <w:gridSpan w:val="2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и характер деятельности</w:t>
            </w:r>
          </w:p>
        </w:tc>
      </w:tr>
      <w:tr w:rsidR="00214C77" w:rsidRPr="00214C77" w:rsidTr="00DB1AD1">
        <w:tc>
          <w:tcPr>
            <w:tcW w:w="534" w:type="dxa"/>
            <w:vMerge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vMerge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3260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214C77" w:rsidRPr="00214C77" w:rsidTr="00DB1AD1">
        <w:tc>
          <w:tcPr>
            <w:tcW w:w="53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992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комната</w:t>
            </w:r>
          </w:p>
        </w:tc>
        <w:tc>
          <w:tcPr>
            <w:tcW w:w="6095" w:type="dxa"/>
            <w:gridSpan w:val="2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Проверка готовности к занятию (внешний вид, отметка присутствующих)</w:t>
            </w:r>
          </w:p>
        </w:tc>
      </w:tr>
      <w:tr w:rsidR="00214C77" w:rsidRPr="00214C77" w:rsidTr="00DB1AD1">
        <w:tc>
          <w:tcPr>
            <w:tcW w:w="53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992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6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Тестовый контроль исходного уровня знаний</w:t>
            </w:r>
          </w:p>
        </w:tc>
        <w:tc>
          <w:tcPr>
            <w:tcW w:w="1589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комната</w:t>
            </w:r>
          </w:p>
        </w:tc>
        <w:tc>
          <w:tcPr>
            <w:tcW w:w="2835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Показать уровень освоения теоретического материала</w:t>
            </w:r>
          </w:p>
        </w:tc>
        <w:tc>
          <w:tcPr>
            <w:tcW w:w="3260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клинических проявлений </w:t>
            </w: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ГЭРБ</w:t>
            </w:r>
          </w:p>
        </w:tc>
      </w:tr>
      <w:tr w:rsidR="00214C77" w:rsidRPr="00214C77" w:rsidTr="00DB1AD1">
        <w:tc>
          <w:tcPr>
            <w:tcW w:w="53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Ознакомление студентов с содержанием занятия, клинический разбор больного, решение ситуационных задач с аналитическим разбором хода и результатов их решения. Разбор с преподавателем основных вопросов темы занятия: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-основные механизмы </w:t>
            </w:r>
            <w:proofErr w:type="spellStart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ГЭРБ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-классификация 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гастритов;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-клинические проявления </w:t>
            </w: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ГЭРБ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лабораторно-инструментальные методы исследования;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-фармакотерапия </w:t>
            </w: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ГЭРБ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-врачебно-трудовая экспертиза.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266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Учебные таблицы, слайды, алгоритмы, индивидуальные карты амбулаторного больного, ситуационные задачи, варианты рН-метрий, результаты ФГС-исследования.</w:t>
            </w:r>
          </w:p>
        </w:tc>
        <w:tc>
          <w:tcPr>
            <w:tcW w:w="1589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комната</w:t>
            </w:r>
          </w:p>
        </w:tc>
        <w:tc>
          <w:tcPr>
            <w:tcW w:w="2835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Отрабатывает навыки по клиническому  обследованию больного, интерпретации данных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лабораторно-функциональных методов исследования, формированию клинико-функционального диагноза по Сиднейской 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классификации</w:t>
            </w:r>
          </w:p>
        </w:tc>
        <w:tc>
          <w:tcPr>
            <w:tcW w:w="3260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навыков и умений по амбулаторному ведению больных с </w:t>
            </w: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ГЭРБ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демонстрация преподавателем методики приемов по данной теме: оформление 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нетрудоспособности, необходимой учетно-отчетной документации.</w:t>
            </w:r>
            <w:proofErr w:type="gramEnd"/>
          </w:p>
        </w:tc>
      </w:tr>
      <w:tr w:rsidR="00214C77" w:rsidRPr="00214C77" w:rsidTr="00DB1AD1">
        <w:tc>
          <w:tcPr>
            <w:tcW w:w="53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 студентов под контролем преподавателя: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-работа в кабинетах участковых врачей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-функциональной диагностике;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лабораториях</w:t>
            </w:r>
            <w:proofErr w:type="gramEnd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-самостоятельный прием больных  с хроническим гастритом;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-оформление медицинской документации;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экспертная оценка амбулаторных карт с определением уровня 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качества лечения (УКЛ).</w:t>
            </w:r>
          </w:p>
        </w:tc>
        <w:tc>
          <w:tcPr>
            <w:tcW w:w="992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266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Больные, фонендоскоп, методические пособия для студентов, медицинские карты больных, наборы общих анализов крови, биохимии крови, рН-метрий, ФГС.</w:t>
            </w:r>
          </w:p>
        </w:tc>
        <w:tc>
          <w:tcPr>
            <w:tcW w:w="1589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Кабинет врача, палаты больных в дневном стационаре, отделение функциональной диагностики, лаборатории, кабинет  эндоскопии</w:t>
            </w:r>
          </w:p>
        </w:tc>
        <w:tc>
          <w:tcPr>
            <w:tcW w:w="2835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выяснить жалобы, собрать анамнез, провести объективное обследование, оценить данные лабораторно-инструментальных методов обследования,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3260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проводимыми исследованиями, анализ качества работы, коррекция результатов обследования, диагноза, лечения. Принимает и оценивает результаты самостоятельной работы студентов с разбором выявленных ошибок в тактике ведения больных  в амбулаторных условиях.</w:t>
            </w:r>
          </w:p>
        </w:tc>
      </w:tr>
      <w:tr w:rsidR="00214C77" w:rsidRPr="00214C77" w:rsidTr="00DB1AD1">
        <w:tc>
          <w:tcPr>
            <w:tcW w:w="53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8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Обобщающий разбор проведенной работы, повторение ключевых моментов в тактике ведения больных с </w:t>
            </w: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ГЭРБ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Экспертная оценка амбулаторных карт  с определением уровня качества лечения (УКЛД).</w:t>
            </w:r>
          </w:p>
        </w:tc>
        <w:tc>
          <w:tcPr>
            <w:tcW w:w="992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66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Больные, фонендоскоп, методические пособия для студентов, медицинские карты больных, наборы общих анализов крови, биохимии крови, рН-метрий, ФГС.</w:t>
            </w:r>
          </w:p>
        </w:tc>
        <w:tc>
          <w:tcPr>
            <w:tcW w:w="1589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Учебная  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комната</w:t>
            </w:r>
          </w:p>
        </w:tc>
        <w:tc>
          <w:tcPr>
            <w:tcW w:w="2835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клинического случая, формирование клинического мышления</w:t>
            </w:r>
            <w:proofErr w:type="gramStart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ритически осмысливает результаты своей деятельности.</w:t>
            </w:r>
          </w:p>
        </w:tc>
        <w:tc>
          <w:tcPr>
            <w:tcW w:w="3260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Выявляет наиболее типичные общие ошибки в тактике ведения больных  с </w:t>
            </w: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ГЭРБ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закрепляет усвоенные теоретические знания и практические навыки. Обращает внимание на особенности работы с каждым больным  с целью назначения индивидуальной терапии.</w:t>
            </w:r>
          </w:p>
        </w:tc>
      </w:tr>
      <w:tr w:rsidR="00214C77" w:rsidRPr="00214C77" w:rsidTr="00DB1AD1">
        <w:tc>
          <w:tcPr>
            <w:tcW w:w="53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конечного уровня знаний и умений по теме.</w:t>
            </w:r>
          </w:p>
        </w:tc>
        <w:tc>
          <w:tcPr>
            <w:tcW w:w="992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6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Тесты, ситуационные задачи, амбулаторные карты.</w:t>
            </w:r>
          </w:p>
        </w:tc>
        <w:tc>
          <w:tcPr>
            <w:tcW w:w="1589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Учебная  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комната</w:t>
            </w:r>
          </w:p>
        </w:tc>
        <w:tc>
          <w:tcPr>
            <w:tcW w:w="2835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Показывает уровень усвоения теоретического материала и практических навыков по теме занятия.</w:t>
            </w:r>
          </w:p>
        </w:tc>
        <w:tc>
          <w:tcPr>
            <w:tcW w:w="3260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Оценивает уровень усвоения практических навыков и умений амбулаторного ведения больных с </w:t>
            </w: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ГЭРБ.</w:t>
            </w:r>
          </w:p>
        </w:tc>
      </w:tr>
    </w:tbl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14C77" w:rsidRPr="00214C77" w:rsidSect="00455F91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214C77" w:rsidRPr="00214C77" w:rsidRDefault="00214C77" w:rsidP="00214C77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4C77" w:rsidRPr="0021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565"/>
    <w:multiLevelType w:val="hybridMultilevel"/>
    <w:tmpl w:val="1C5ECA7E"/>
    <w:lvl w:ilvl="0" w:tplc="EDCA00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E6B3C"/>
    <w:multiLevelType w:val="hybridMultilevel"/>
    <w:tmpl w:val="3DEE5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B7676"/>
    <w:multiLevelType w:val="hybridMultilevel"/>
    <w:tmpl w:val="A4303C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81B1645"/>
    <w:multiLevelType w:val="hybridMultilevel"/>
    <w:tmpl w:val="2952A870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824B97"/>
    <w:multiLevelType w:val="hybridMultilevel"/>
    <w:tmpl w:val="54106FA2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D41664"/>
    <w:multiLevelType w:val="hybridMultilevel"/>
    <w:tmpl w:val="45B81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3473D"/>
    <w:multiLevelType w:val="hybridMultilevel"/>
    <w:tmpl w:val="4E30DC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4A517DF"/>
    <w:multiLevelType w:val="hybridMultilevel"/>
    <w:tmpl w:val="EC32E312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CC5FEA"/>
    <w:multiLevelType w:val="hybridMultilevel"/>
    <w:tmpl w:val="B68A6A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2CE4D4B"/>
    <w:multiLevelType w:val="hybridMultilevel"/>
    <w:tmpl w:val="D988F8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BC820CD"/>
    <w:multiLevelType w:val="hybridMultilevel"/>
    <w:tmpl w:val="2C7E42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F1B2564"/>
    <w:multiLevelType w:val="hybridMultilevel"/>
    <w:tmpl w:val="61B83D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5494980"/>
    <w:multiLevelType w:val="hybridMultilevel"/>
    <w:tmpl w:val="FCDC14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FBE00EE"/>
    <w:multiLevelType w:val="hybridMultilevel"/>
    <w:tmpl w:val="A6C08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77BDD"/>
    <w:multiLevelType w:val="hybridMultilevel"/>
    <w:tmpl w:val="F918B970"/>
    <w:lvl w:ilvl="0" w:tplc="A2200D4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6996706"/>
    <w:multiLevelType w:val="hybridMultilevel"/>
    <w:tmpl w:val="336C0838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68830E0"/>
    <w:multiLevelType w:val="hybridMultilevel"/>
    <w:tmpl w:val="7BD65BE0"/>
    <w:lvl w:ilvl="0" w:tplc="EDCA00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EE92E4A"/>
    <w:multiLevelType w:val="hybridMultilevel"/>
    <w:tmpl w:val="FB8E2C5C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4011EDB"/>
    <w:multiLevelType w:val="hybridMultilevel"/>
    <w:tmpl w:val="01EE65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61B475A"/>
    <w:multiLevelType w:val="hybridMultilevel"/>
    <w:tmpl w:val="BE72A1D4"/>
    <w:lvl w:ilvl="0" w:tplc="E9E6B80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A5D42"/>
    <w:multiLevelType w:val="hybridMultilevel"/>
    <w:tmpl w:val="D9E264A6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594867"/>
    <w:multiLevelType w:val="hybridMultilevel"/>
    <w:tmpl w:val="D35C0C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11"/>
  </w:num>
  <w:num w:numId="9">
    <w:abstractNumId w:val="9"/>
  </w:num>
  <w:num w:numId="10">
    <w:abstractNumId w:val="19"/>
  </w:num>
  <w:num w:numId="11">
    <w:abstractNumId w:val="22"/>
  </w:num>
  <w:num w:numId="12">
    <w:abstractNumId w:val="10"/>
  </w:num>
  <w:num w:numId="13">
    <w:abstractNumId w:val="17"/>
  </w:num>
  <w:num w:numId="14">
    <w:abstractNumId w:val="1"/>
  </w:num>
  <w:num w:numId="15">
    <w:abstractNumId w:val="6"/>
  </w:num>
  <w:num w:numId="16">
    <w:abstractNumId w:val="4"/>
  </w:num>
  <w:num w:numId="17">
    <w:abstractNumId w:val="7"/>
  </w:num>
  <w:num w:numId="18">
    <w:abstractNumId w:val="18"/>
  </w:num>
  <w:num w:numId="19">
    <w:abstractNumId w:val="3"/>
  </w:num>
  <w:num w:numId="20">
    <w:abstractNumId w:val="16"/>
  </w:num>
  <w:num w:numId="21">
    <w:abstractNumId w:val="21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9E"/>
    <w:rsid w:val="000E77DB"/>
    <w:rsid w:val="00214C77"/>
    <w:rsid w:val="002339BF"/>
    <w:rsid w:val="003C0B61"/>
    <w:rsid w:val="004B0E32"/>
    <w:rsid w:val="009B139E"/>
    <w:rsid w:val="00A94597"/>
    <w:rsid w:val="00B111FA"/>
    <w:rsid w:val="00C0087C"/>
    <w:rsid w:val="00E5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4C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14C7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14C7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14C7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C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4C7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4C7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14C7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rsid w:val="00214C77"/>
  </w:style>
  <w:style w:type="paragraph" w:styleId="a3">
    <w:name w:val="Body Text"/>
    <w:basedOn w:val="a"/>
    <w:link w:val="a4"/>
    <w:rsid w:val="00214C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14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214C77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214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14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14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14C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14C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14C77"/>
    <w:rPr>
      <w:color w:val="0000FF"/>
      <w:u w:val="single"/>
    </w:rPr>
  </w:style>
  <w:style w:type="paragraph" w:styleId="ab">
    <w:name w:val="No Spacing"/>
    <w:uiPriority w:val="1"/>
    <w:qFormat/>
    <w:rsid w:val="0021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14C7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4C77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B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B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4C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14C7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14C7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14C7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C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4C7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4C7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14C7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rsid w:val="00214C77"/>
  </w:style>
  <w:style w:type="paragraph" w:styleId="a3">
    <w:name w:val="Body Text"/>
    <w:basedOn w:val="a"/>
    <w:link w:val="a4"/>
    <w:rsid w:val="00214C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14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214C77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214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14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14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14C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14C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14C77"/>
    <w:rPr>
      <w:color w:val="0000FF"/>
      <w:u w:val="single"/>
    </w:rPr>
  </w:style>
  <w:style w:type="paragraph" w:styleId="ab">
    <w:name w:val="No Spacing"/>
    <w:uiPriority w:val="1"/>
    <w:qFormat/>
    <w:rsid w:val="0021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14C7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4C77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B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B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3982</Words>
  <Characters>22699</Characters>
  <Application>Microsoft Office Word</Application>
  <DocSecurity>0</DocSecurity>
  <Lines>189</Lines>
  <Paragraphs>53</Paragraphs>
  <ScaleCrop>false</ScaleCrop>
  <Company/>
  <LinksUpToDate>false</LinksUpToDate>
  <CharactersWithSpaces>26628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10</cp:revision>
  <dcterms:created xsi:type="dcterms:W3CDTF">2018-11-15T14:50:00Z</dcterms:created>
  <dcterms:modified xsi:type="dcterms:W3CDTF">2018-12-21T10:04:00Z</dcterms:modified>
</cp:coreProperties>
</file>