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C4" w:rsidRPr="0044196C" w:rsidRDefault="007339C4" w:rsidP="0044196C">
      <w:pPr>
        <w:pStyle w:val="af3"/>
        <w:tabs>
          <w:tab w:val="left" w:pos="2694"/>
        </w:tabs>
        <w:ind w:left="2126" w:hanging="2126"/>
        <w:jc w:val="right"/>
        <w:rPr>
          <w:rFonts w:cs="Times New Roman"/>
          <w:color w:val="000000" w:themeColor="text1"/>
          <w:sz w:val="28"/>
          <w:szCs w:val="28"/>
          <w:lang w:eastAsia="zh-CN"/>
        </w:rPr>
      </w:pPr>
      <w:r w:rsidRPr="0044196C">
        <w:rPr>
          <w:rFonts w:cs="Times New Roman"/>
          <w:color w:val="000000" w:themeColor="text1"/>
          <w:sz w:val="28"/>
          <w:szCs w:val="28"/>
          <w:lang w:eastAsia="zh-CN"/>
        </w:rPr>
        <w:t xml:space="preserve">Разработчик:     Научное общество нефрологов России </w:t>
      </w:r>
    </w:p>
    <w:p w:rsidR="007339C4" w:rsidRPr="0044196C" w:rsidRDefault="007339C4" w:rsidP="0044196C">
      <w:pPr>
        <w:pStyle w:val="af3"/>
        <w:tabs>
          <w:tab w:val="left" w:pos="2694"/>
        </w:tabs>
        <w:ind w:left="2126" w:hanging="2126"/>
        <w:jc w:val="right"/>
        <w:rPr>
          <w:rFonts w:cs="Times New Roman"/>
          <w:color w:val="000000" w:themeColor="text1"/>
          <w:sz w:val="28"/>
          <w:szCs w:val="28"/>
          <w:lang w:eastAsia="zh-CN"/>
        </w:rPr>
      </w:pPr>
      <w:r w:rsidRPr="0044196C">
        <w:rPr>
          <w:rFonts w:cs="Times New Roman"/>
          <w:b/>
          <w:color w:val="000000" w:themeColor="text1"/>
          <w:sz w:val="28"/>
          <w:szCs w:val="28"/>
          <w:lang w:eastAsia="zh-CN"/>
        </w:rPr>
        <w:t xml:space="preserve">                            </w:t>
      </w:r>
      <w:r w:rsidRPr="0044196C">
        <w:rPr>
          <w:rFonts w:cs="Times New Roman"/>
          <w:color w:val="000000" w:themeColor="text1"/>
          <w:sz w:val="28"/>
          <w:szCs w:val="28"/>
          <w:lang w:eastAsia="zh-CN"/>
        </w:rPr>
        <w:t>Ассоциация нефрологов</w:t>
      </w:r>
    </w:p>
    <w:p w:rsidR="007339C4" w:rsidRPr="0044196C" w:rsidRDefault="007339C4" w:rsidP="0044196C">
      <w:pPr>
        <w:pStyle w:val="af3"/>
        <w:tabs>
          <w:tab w:val="left" w:pos="2694"/>
        </w:tabs>
        <w:ind w:left="2126" w:hanging="2126"/>
        <w:jc w:val="right"/>
        <w:rPr>
          <w:rFonts w:cs="Times New Roman"/>
          <w:color w:val="000000" w:themeColor="text1"/>
          <w:sz w:val="28"/>
          <w:szCs w:val="28"/>
          <w:lang w:eastAsia="zh-CN"/>
        </w:rPr>
      </w:pPr>
    </w:p>
    <w:p w:rsidR="007339C4" w:rsidRPr="0044196C" w:rsidRDefault="007339C4" w:rsidP="007339C4">
      <w:pPr>
        <w:pStyle w:val="af3"/>
        <w:tabs>
          <w:tab w:val="left" w:pos="2694"/>
        </w:tabs>
        <w:spacing w:before="120" w:after="60"/>
        <w:ind w:left="2127" w:hanging="2127"/>
        <w:jc w:val="right"/>
        <w:rPr>
          <w:rFonts w:cs="Times New Roman"/>
          <w:color w:val="000000" w:themeColor="text1"/>
          <w:sz w:val="28"/>
          <w:szCs w:val="28"/>
          <w:lang w:eastAsia="zh-CN"/>
        </w:rPr>
      </w:pPr>
    </w:p>
    <w:p w:rsidR="007339C4" w:rsidRPr="0044196C" w:rsidRDefault="007339C4" w:rsidP="007339C4">
      <w:pPr>
        <w:pStyle w:val="af3"/>
        <w:tabs>
          <w:tab w:val="left" w:pos="2694"/>
        </w:tabs>
        <w:spacing w:before="120" w:after="60"/>
        <w:ind w:left="2127" w:hanging="2127"/>
        <w:jc w:val="right"/>
        <w:rPr>
          <w:rFonts w:cs="Times New Roman"/>
          <w:color w:val="000000" w:themeColor="text1"/>
          <w:sz w:val="28"/>
          <w:szCs w:val="28"/>
          <w:lang w:eastAsia="zh-CN"/>
        </w:rPr>
      </w:pPr>
    </w:p>
    <w:p w:rsidR="007339C4" w:rsidRPr="0044196C" w:rsidRDefault="007339C4" w:rsidP="007339C4">
      <w:pPr>
        <w:pStyle w:val="af3"/>
        <w:tabs>
          <w:tab w:val="left" w:pos="2694"/>
        </w:tabs>
        <w:spacing w:before="120" w:after="60"/>
        <w:ind w:left="2127" w:hanging="2127"/>
        <w:jc w:val="right"/>
        <w:rPr>
          <w:rFonts w:cs="Times New Roman"/>
          <w:color w:val="000000" w:themeColor="text1"/>
          <w:sz w:val="28"/>
          <w:szCs w:val="28"/>
          <w:lang w:eastAsia="zh-CN"/>
        </w:rPr>
      </w:pPr>
    </w:p>
    <w:p w:rsidR="007339C4" w:rsidRPr="0044196C" w:rsidRDefault="007339C4" w:rsidP="007339C4">
      <w:pPr>
        <w:pStyle w:val="af3"/>
        <w:tabs>
          <w:tab w:val="left" w:pos="2694"/>
        </w:tabs>
        <w:spacing w:before="120" w:after="60"/>
        <w:ind w:left="2127" w:hanging="2127"/>
        <w:jc w:val="right"/>
        <w:rPr>
          <w:rFonts w:cs="Times New Roman"/>
          <w:color w:val="000000" w:themeColor="text1"/>
          <w:sz w:val="28"/>
          <w:szCs w:val="28"/>
          <w:lang w:eastAsia="zh-CN"/>
        </w:rPr>
      </w:pPr>
    </w:p>
    <w:p w:rsidR="00865E92" w:rsidRPr="0044196C" w:rsidRDefault="00F43C14" w:rsidP="007339C4">
      <w:pPr>
        <w:pStyle w:val="Chap-Name"/>
        <w:spacing w:before="0" w:after="0" w:line="240" w:lineRule="auto"/>
        <w:ind w:left="0" w:firstLine="0"/>
        <w:jc w:val="center"/>
        <w:rPr>
          <w:rFonts w:ascii="Times New Roman" w:hAnsi="Times New Roman"/>
          <w:color w:val="000000" w:themeColor="text1"/>
          <w:sz w:val="28"/>
          <w:szCs w:val="28"/>
        </w:rPr>
      </w:pPr>
      <w:r w:rsidRPr="0044196C">
        <w:rPr>
          <w:rFonts w:ascii="Times New Roman" w:hAnsi="Times New Roman"/>
          <w:color w:val="000000" w:themeColor="text1"/>
          <w:sz w:val="28"/>
          <w:szCs w:val="28"/>
        </w:rPr>
        <w:t>К</w:t>
      </w:r>
      <w:r w:rsidR="00865E92" w:rsidRPr="0044196C">
        <w:rPr>
          <w:rFonts w:ascii="Times New Roman" w:hAnsi="Times New Roman"/>
          <w:color w:val="000000" w:themeColor="text1"/>
          <w:sz w:val="28"/>
          <w:szCs w:val="28"/>
        </w:rPr>
        <w:t>линические рекомендации</w:t>
      </w:r>
    </w:p>
    <w:p w:rsidR="00745EE6" w:rsidRPr="0044196C" w:rsidRDefault="007339C4" w:rsidP="007339C4">
      <w:pPr>
        <w:pStyle w:val="Chap-Name"/>
        <w:spacing w:before="0" w:after="0" w:line="240" w:lineRule="auto"/>
        <w:ind w:left="0" w:firstLine="0"/>
        <w:jc w:val="center"/>
        <w:rPr>
          <w:rFonts w:ascii="Times New Roman" w:hAnsi="Times New Roman"/>
          <w:color w:val="000000" w:themeColor="text1"/>
          <w:sz w:val="28"/>
          <w:szCs w:val="28"/>
        </w:rPr>
      </w:pPr>
      <w:r w:rsidRPr="0044196C">
        <w:rPr>
          <w:rFonts w:ascii="Times New Roman" w:hAnsi="Times New Roman"/>
          <w:color w:val="000000" w:themeColor="text1"/>
          <w:sz w:val="28"/>
          <w:szCs w:val="28"/>
        </w:rPr>
        <w:t>«Д</w:t>
      </w:r>
      <w:r w:rsidR="00865E92" w:rsidRPr="0044196C">
        <w:rPr>
          <w:rFonts w:ascii="Times New Roman" w:hAnsi="Times New Roman"/>
          <w:color w:val="000000" w:themeColor="text1"/>
          <w:sz w:val="28"/>
          <w:szCs w:val="28"/>
        </w:rPr>
        <w:t>иагностик</w:t>
      </w:r>
      <w:r w:rsidRPr="0044196C">
        <w:rPr>
          <w:rFonts w:ascii="Times New Roman" w:hAnsi="Times New Roman"/>
          <w:color w:val="000000" w:themeColor="text1"/>
          <w:sz w:val="28"/>
          <w:szCs w:val="28"/>
        </w:rPr>
        <w:t>а</w:t>
      </w:r>
      <w:r w:rsidR="00865E92" w:rsidRPr="0044196C">
        <w:rPr>
          <w:rFonts w:ascii="Times New Roman" w:hAnsi="Times New Roman"/>
          <w:color w:val="000000" w:themeColor="text1"/>
          <w:sz w:val="28"/>
          <w:szCs w:val="28"/>
        </w:rPr>
        <w:t xml:space="preserve"> и лечени</w:t>
      </w:r>
      <w:r w:rsidRPr="0044196C">
        <w:rPr>
          <w:rFonts w:ascii="Times New Roman" w:hAnsi="Times New Roman"/>
          <w:color w:val="000000" w:themeColor="text1"/>
          <w:sz w:val="28"/>
          <w:szCs w:val="28"/>
        </w:rPr>
        <w:t xml:space="preserve">е </w:t>
      </w:r>
      <w:r w:rsidR="00640DF6" w:rsidRPr="0044196C">
        <w:rPr>
          <w:rFonts w:ascii="Times New Roman" w:hAnsi="Times New Roman"/>
          <w:color w:val="000000" w:themeColor="text1"/>
          <w:sz w:val="28"/>
          <w:szCs w:val="28"/>
        </w:rPr>
        <w:t>артериальной гипертензии</w:t>
      </w:r>
    </w:p>
    <w:p w:rsidR="007339C4" w:rsidRPr="0044196C" w:rsidRDefault="007339C4" w:rsidP="007339C4">
      <w:pPr>
        <w:pStyle w:val="5"/>
        <w:spacing w:before="0" w:line="240" w:lineRule="auto"/>
        <w:ind w:firstLine="0"/>
        <w:jc w:val="center"/>
        <w:rPr>
          <w:rFonts w:ascii="Times New Roman" w:hAnsi="Times New Roman" w:cs="Times New Roman"/>
          <w:b/>
          <w:color w:val="000000" w:themeColor="text1"/>
          <w:sz w:val="28"/>
          <w:szCs w:val="28"/>
          <w:lang w:eastAsia="zh-CN"/>
        </w:rPr>
      </w:pPr>
      <w:r w:rsidRPr="0044196C">
        <w:rPr>
          <w:rFonts w:ascii="Times New Roman" w:hAnsi="Times New Roman" w:cs="Times New Roman"/>
          <w:b/>
          <w:color w:val="000000" w:themeColor="text1"/>
          <w:sz w:val="28"/>
          <w:szCs w:val="28"/>
          <w:lang w:eastAsia="zh-CN"/>
        </w:rPr>
        <w:t>при хронической болезни почек»</w:t>
      </w:r>
    </w:p>
    <w:p w:rsidR="007339C4" w:rsidRPr="0044196C" w:rsidRDefault="007339C4" w:rsidP="007339C4">
      <w:pPr>
        <w:pStyle w:val="af3"/>
        <w:rPr>
          <w:color w:val="000000" w:themeColor="text1"/>
          <w:sz w:val="28"/>
          <w:szCs w:val="28"/>
          <w:lang w:eastAsia="zh-CN"/>
        </w:rPr>
      </w:pPr>
    </w:p>
    <w:p w:rsidR="007339C4" w:rsidRPr="0044196C" w:rsidRDefault="007339C4" w:rsidP="007339C4">
      <w:pPr>
        <w:pStyle w:val="af3"/>
        <w:rPr>
          <w:color w:val="000000" w:themeColor="text1"/>
          <w:sz w:val="28"/>
          <w:szCs w:val="28"/>
          <w:lang w:eastAsia="zh-CN"/>
        </w:rPr>
      </w:pPr>
    </w:p>
    <w:p w:rsidR="007339C4" w:rsidRPr="0044196C" w:rsidRDefault="007339C4" w:rsidP="007339C4">
      <w:pPr>
        <w:pStyle w:val="af3"/>
        <w:rPr>
          <w:color w:val="000000" w:themeColor="text1"/>
          <w:sz w:val="28"/>
          <w:lang w:eastAsia="zh-CN"/>
        </w:rPr>
      </w:pPr>
    </w:p>
    <w:p w:rsidR="007339C4" w:rsidRPr="0044196C" w:rsidRDefault="007339C4" w:rsidP="007339C4">
      <w:pPr>
        <w:pStyle w:val="af3"/>
        <w:rPr>
          <w:color w:val="000000" w:themeColor="text1"/>
          <w:sz w:val="28"/>
          <w:lang w:eastAsia="zh-CN"/>
        </w:rPr>
      </w:pPr>
    </w:p>
    <w:p w:rsidR="007339C4" w:rsidRPr="0044196C" w:rsidRDefault="007339C4" w:rsidP="007339C4">
      <w:pPr>
        <w:pStyle w:val="af3"/>
        <w:rPr>
          <w:color w:val="000000" w:themeColor="text1"/>
          <w:sz w:val="28"/>
          <w:lang w:eastAsia="zh-CN"/>
        </w:rPr>
      </w:pPr>
    </w:p>
    <w:p w:rsidR="007339C4" w:rsidRPr="0044196C" w:rsidRDefault="007339C4" w:rsidP="007339C4">
      <w:pPr>
        <w:spacing w:before="0" w:line="240" w:lineRule="auto"/>
        <w:jc w:val="right"/>
        <w:rPr>
          <w:rFonts w:eastAsia="TimesNewRoman"/>
          <w:color w:val="000000" w:themeColor="text1"/>
          <w:sz w:val="28"/>
          <w:szCs w:val="28"/>
        </w:rPr>
      </w:pPr>
      <w:r w:rsidRPr="0044196C">
        <w:rPr>
          <w:rFonts w:eastAsia="TimesNewRoman"/>
          <w:color w:val="000000" w:themeColor="text1"/>
          <w:sz w:val="28"/>
          <w:szCs w:val="28"/>
        </w:rPr>
        <w:t>«Утверждено»</w:t>
      </w:r>
    </w:p>
    <w:p w:rsidR="007339C4" w:rsidRPr="0044196C" w:rsidRDefault="007339C4" w:rsidP="007339C4">
      <w:pPr>
        <w:spacing w:before="0" w:line="240" w:lineRule="auto"/>
        <w:jc w:val="right"/>
        <w:rPr>
          <w:rFonts w:eastAsia="TimesNewRoman"/>
          <w:color w:val="000000" w:themeColor="text1"/>
          <w:sz w:val="28"/>
          <w:szCs w:val="28"/>
        </w:rPr>
      </w:pPr>
      <w:r w:rsidRPr="0044196C">
        <w:rPr>
          <w:rFonts w:eastAsia="TimesNewRoman"/>
          <w:color w:val="000000" w:themeColor="text1"/>
          <w:sz w:val="28"/>
          <w:szCs w:val="28"/>
        </w:rPr>
        <w:t>18 декабря 2014 г.</w:t>
      </w: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right"/>
        <w:rPr>
          <w:rFonts w:eastAsia="TimesNewRoman"/>
          <w:color w:val="000000" w:themeColor="text1"/>
          <w:sz w:val="28"/>
          <w:szCs w:val="28"/>
        </w:rPr>
      </w:pPr>
    </w:p>
    <w:p w:rsidR="007339C4" w:rsidRPr="0044196C" w:rsidRDefault="007339C4" w:rsidP="007339C4">
      <w:pPr>
        <w:jc w:val="center"/>
        <w:rPr>
          <w:rFonts w:eastAsia="TimesNewRoman" w:cs="Times New Roman"/>
          <w:color w:val="000000" w:themeColor="text1"/>
          <w:sz w:val="28"/>
          <w:szCs w:val="28"/>
        </w:rPr>
      </w:pPr>
      <w:r w:rsidRPr="0044196C">
        <w:rPr>
          <w:rFonts w:eastAsia="TimesNewRoman" w:cs="Times New Roman"/>
          <w:color w:val="000000" w:themeColor="text1"/>
          <w:sz w:val="28"/>
          <w:szCs w:val="28"/>
        </w:rPr>
        <w:t>Москва,</w:t>
      </w:r>
      <w:r w:rsidRPr="0044196C">
        <w:rPr>
          <w:rFonts w:cs="Times New Roman"/>
          <w:b/>
          <w:color w:val="000000" w:themeColor="text1"/>
          <w:sz w:val="26"/>
          <w:szCs w:val="26"/>
        </w:rPr>
        <w:t xml:space="preserve">   </w:t>
      </w:r>
      <w:r w:rsidRPr="0044196C">
        <w:rPr>
          <w:rFonts w:cs="Times New Roman"/>
          <w:color w:val="000000" w:themeColor="text1"/>
          <w:sz w:val="26"/>
          <w:szCs w:val="26"/>
          <w:lang w:val="en-US"/>
        </w:rPr>
        <w:t xml:space="preserve">2014 </w:t>
      </w:r>
      <w:r w:rsidRPr="0044196C">
        <w:rPr>
          <w:rFonts w:cs="Times New Roman"/>
          <w:color w:val="000000" w:themeColor="text1"/>
          <w:sz w:val="26"/>
          <w:szCs w:val="26"/>
        </w:rPr>
        <w:t>г.</w:t>
      </w:r>
    </w:p>
    <w:p w:rsidR="007339C4" w:rsidRPr="0044196C" w:rsidRDefault="007339C4" w:rsidP="007339C4">
      <w:pPr>
        <w:jc w:val="right"/>
        <w:rPr>
          <w:rFonts w:eastAsia="TimesNewRoman"/>
          <w:color w:val="000000" w:themeColor="text1"/>
          <w:sz w:val="28"/>
          <w:szCs w:val="28"/>
        </w:rPr>
      </w:pPr>
    </w:p>
    <w:p w:rsidR="007339C4" w:rsidRDefault="007339C4" w:rsidP="007339C4">
      <w:pPr>
        <w:pStyle w:val="af3"/>
        <w:spacing w:before="120" w:after="60"/>
        <w:ind w:firstLine="0"/>
        <w:rPr>
          <w:rFonts w:cs="Times New Roman"/>
          <w:b/>
          <w:bCs/>
          <w:color w:val="000000" w:themeColor="text1"/>
          <w:sz w:val="28"/>
          <w:szCs w:val="28"/>
        </w:rPr>
      </w:pPr>
      <w:r w:rsidRPr="0044196C">
        <w:rPr>
          <w:rFonts w:cs="Times New Roman"/>
          <w:b/>
          <w:bCs/>
          <w:color w:val="000000" w:themeColor="text1"/>
          <w:sz w:val="28"/>
          <w:szCs w:val="28"/>
        </w:rPr>
        <w:lastRenderedPageBreak/>
        <w:t>Рабочая группа:</w:t>
      </w:r>
    </w:p>
    <w:p w:rsidR="0044196C" w:rsidRPr="0044196C" w:rsidRDefault="0044196C" w:rsidP="007339C4">
      <w:pPr>
        <w:pStyle w:val="af3"/>
        <w:spacing w:before="120" w:after="60"/>
        <w:ind w:firstLine="0"/>
        <w:rPr>
          <w:rFonts w:cs="Times New Roman"/>
          <w:b/>
          <w:bCs/>
          <w:color w:val="000000" w:themeColor="text1"/>
          <w:sz w:val="28"/>
          <w:szCs w:val="28"/>
        </w:rPr>
      </w:pPr>
    </w:p>
    <w:tbl>
      <w:tblPr>
        <w:tblStyle w:val="16"/>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2518"/>
        <w:gridCol w:w="7360"/>
      </w:tblGrid>
      <w:tr w:rsidR="007339C4" w:rsidRPr="0044196C" w:rsidTr="007339C4">
        <w:tc>
          <w:tcPr>
            <w:tcW w:w="2518" w:type="dxa"/>
          </w:tcPr>
          <w:p w:rsidR="007339C4" w:rsidRPr="0044196C" w:rsidRDefault="007339C4" w:rsidP="007339C4">
            <w:pPr>
              <w:ind w:firstLine="0"/>
              <w:rPr>
                <w:b/>
                <w:color w:val="000000" w:themeColor="text1"/>
                <w:sz w:val="28"/>
                <w:szCs w:val="28"/>
              </w:rPr>
            </w:pPr>
            <w:r w:rsidRPr="0044196C">
              <w:rPr>
                <w:b/>
                <w:color w:val="000000" w:themeColor="text1"/>
                <w:sz w:val="28"/>
                <w:szCs w:val="28"/>
              </w:rPr>
              <w:t>Кутырина И.М.</w:t>
            </w:r>
          </w:p>
        </w:tc>
        <w:tc>
          <w:tcPr>
            <w:tcW w:w="7360" w:type="dxa"/>
          </w:tcPr>
          <w:p w:rsidR="007339C4" w:rsidRPr="0044196C" w:rsidRDefault="007339C4" w:rsidP="007339C4">
            <w:pPr>
              <w:ind w:firstLine="0"/>
              <w:rPr>
                <w:color w:val="000000" w:themeColor="text1"/>
                <w:sz w:val="28"/>
                <w:szCs w:val="28"/>
              </w:rPr>
            </w:pPr>
            <w:r w:rsidRPr="0044196C">
              <w:rPr>
                <w:color w:val="000000" w:themeColor="text1"/>
                <w:sz w:val="28"/>
                <w:szCs w:val="28"/>
              </w:rPr>
              <w:t xml:space="preserve">д.м.н., профессор, ведущий научный сотрудник НИО нефрологии научно-исследовательского центра ГБОУ ВПО «Первый МГМУ им. И.М. Сеченова Минздрава России», </w:t>
            </w:r>
          </w:p>
        </w:tc>
      </w:tr>
      <w:tr w:rsidR="007339C4" w:rsidRPr="0044196C" w:rsidTr="007339C4">
        <w:trPr>
          <w:trHeight w:val="2582"/>
        </w:trPr>
        <w:tc>
          <w:tcPr>
            <w:tcW w:w="2518" w:type="dxa"/>
          </w:tcPr>
          <w:p w:rsidR="007339C4" w:rsidRPr="0044196C" w:rsidRDefault="007339C4" w:rsidP="007339C4">
            <w:pPr>
              <w:ind w:firstLine="0"/>
              <w:rPr>
                <w:b/>
                <w:color w:val="000000" w:themeColor="text1"/>
                <w:sz w:val="28"/>
                <w:szCs w:val="28"/>
              </w:rPr>
            </w:pPr>
            <w:r w:rsidRPr="0044196C">
              <w:rPr>
                <w:b/>
                <w:color w:val="000000" w:themeColor="text1"/>
                <w:sz w:val="28"/>
                <w:szCs w:val="28"/>
              </w:rPr>
              <w:t>Швецов М.Ю.</w:t>
            </w:r>
          </w:p>
          <w:p w:rsidR="007339C4" w:rsidRPr="0044196C" w:rsidRDefault="007339C4" w:rsidP="007339C4">
            <w:pPr>
              <w:ind w:firstLine="0"/>
              <w:rPr>
                <w:b/>
                <w:color w:val="000000" w:themeColor="text1"/>
                <w:sz w:val="28"/>
                <w:szCs w:val="28"/>
              </w:rPr>
            </w:pPr>
          </w:p>
          <w:p w:rsidR="007339C4" w:rsidRPr="0044196C" w:rsidRDefault="007339C4" w:rsidP="007339C4">
            <w:pPr>
              <w:ind w:firstLine="0"/>
              <w:rPr>
                <w:b/>
                <w:color w:val="000000" w:themeColor="text1"/>
                <w:sz w:val="28"/>
                <w:szCs w:val="28"/>
              </w:rPr>
            </w:pPr>
          </w:p>
          <w:p w:rsidR="007339C4" w:rsidRPr="0044196C" w:rsidRDefault="007339C4" w:rsidP="007339C4">
            <w:pPr>
              <w:ind w:firstLine="0"/>
              <w:rPr>
                <w:b/>
                <w:color w:val="000000" w:themeColor="text1"/>
                <w:sz w:val="28"/>
                <w:szCs w:val="28"/>
              </w:rPr>
            </w:pPr>
            <w:r w:rsidRPr="0044196C">
              <w:rPr>
                <w:b/>
                <w:color w:val="000000" w:themeColor="text1"/>
                <w:sz w:val="28"/>
                <w:szCs w:val="28"/>
              </w:rPr>
              <w:t>Фомин В.В.</w:t>
            </w:r>
          </w:p>
          <w:p w:rsidR="007339C4" w:rsidRPr="0044196C" w:rsidRDefault="007339C4" w:rsidP="007339C4">
            <w:pPr>
              <w:ind w:firstLine="0"/>
              <w:rPr>
                <w:b/>
                <w:color w:val="000000" w:themeColor="text1"/>
                <w:sz w:val="28"/>
                <w:szCs w:val="28"/>
              </w:rPr>
            </w:pPr>
          </w:p>
          <w:p w:rsidR="007339C4" w:rsidRPr="0044196C" w:rsidRDefault="007339C4" w:rsidP="007339C4">
            <w:pPr>
              <w:ind w:firstLine="0"/>
              <w:rPr>
                <w:b/>
                <w:color w:val="000000" w:themeColor="text1"/>
                <w:sz w:val="28"/>
                <w:szCs w:val="28"/>
              </w:rPr>
            </w:pPr>
          </w:p>
          <w:p w:rsidR="007339C4" w:rsidRPr="0044196C" w:rsidRDefault="007339C4" w:rsidP="007339C4">
            <w:pPr>
              <w:ind w:firstLine="0"/>
              <w:rPr>
                <w:b/>
                <w:color w:val="000000" w:themeColor="text1"/>
                <w:sz w:val="28"/>
                <w:szCs w:val="28"/>
              </w:rPr>
            </w:pPr>
            <w:r w:rsidRPr="0044196C">
              <w:rPr>
                <w:b/>
                <w:color w:val="000000" w:themeColor="text1"/>
                <w:sz w:val="28"/>
                <w:szCs w:val="28"/>
              </w:rPr>
              <w:t>Цыгин А.Н.</w:t>
            </w:r>
          </w:p>
          <w:p w:rsidR="007339C4" w:rsidRPr="0044196C" w:rsidRDefault="007339C4" w:rsidP="007339C4">
            <w:pPr>
              <w:ind w:firstLine="0"/>
              <w:rPr>
                <w:b/>
                <w:color w:val="000000" w:themeColor="text1"/>
                <w:sz w:val="28"/>
                <w:szCs w:val="28"/>
              </w:rPr>
            </w:pPr>
          </w:p>
        </w:tc>
        <w:tc>
          <w:tcPr>
            <w:tcW w:w="7360" w:type="dxa"/>
          </w:tcPr>
          <w:p w:rsidR="007339C4" w:rsidRPr="0044196C" w:rsidRDefault="007339C4" w:rsidP="007339C4">
            <w:pPr>
              <w:ind w:firstLine="0"/>
              <w:rPr>
                <w:color w:val="000000" w:themeColor="text1"/>
                <w:sz w:val="28"/>
                <w:szCs w:val="28"/>
              </w:rPr>
            </w:pPr>
            <w:r w:rsidRPr="0044196C">
              <w:rPr>
                <w:color w:val="000000" w:themeColor="text1"/>
                <w:sz w:val="28"/>
                <w:szCs w:val="28"/>
              </w:rPr>
              <w:t>к.м.н., ведущий научный сотрудник НИО нефрологии научно-исследовательского центра ГБОУ ВПО «Первый МГМУ им. И.М. Сеченова Минздрава России», Москва</w:t>
            </w:r>
          </w:p>
          <w:p w:rsidR="007339C4" w:rsidRPr="0044196C" w:rsidRDefault="007339C4" w:rsidP="007339C4">
            <w:pPr>
              <w:ind w:firstLine="0"/>
              <w:rPr>
                <w:color w:val="000000" w:themeColor="text1"/>
                <w:sz w:val="28"/>
                <w:szCs w:val="28"/>
              </w:rPr>
            </w:pPr>
            <w:r w:rsidRPr="0044196C">
              <w:rPr>
                <w:color w:val="000000" w:themeColor="text1"/>
                <w:sz w:val="28"/>
                <w:szCs w:val="28"/>
              </w:rPr>
              <w:t>д.м.н, профессор кафедры внутренних, профессиональных заболеваний и пульмонологии медико-профилактического факультета  ВПО ГБОУ ВПО «Первый МГМУим. И.М. Сеченова Минздрава России», Москва</w:t>
            </w:r>
          </w:p>
          <w:p w:rsidR="007339C4" w:rsidRPr="0044196C" w:rsidRDefault="007339C4" w:rsidP="007339C4">
            <w:pPr>
              <w:ind w:firstLine="0"/>
              <w:rPr>
                <w:color w:val="000000" w:themeColor="text1"/>
                <w:sz w:val="28"/>
                <w:szCs w:val="28"/>
              </w:rPr>
            </w:pPr>
            <w:r w:rsidRPr="0044196C">
              <w:rPr>
                <w:color w:val="000000" w:themeColor="text1"/>
                <w:sz w:val="28"/>
                <w:szCs w:val="28"/>
              </w:rPr>
              <w:t>д.м.н., профессор, руководитель отделения нефрологии ФГБУ "Научный центр здоровья детей" РАМН, Москва</w:t>
            </w:r>
          </w:p>
        </w:tc>
      </w:tr>
      <w:tr w:rsidR="007339C4" w:rsidRPr="0044196C" w:rsidTr="007339C4">
        <w:tc>
          <w:tcPr>
            <w:tcW w:w="2518" w:type="dxa"/>
          </w:tcPr>
          <w:p w:rsidR="007339C4" w:rsidRPr="0044196C" w:rsidRDefault="007339C4" w:rsidP="007339C4">
            <w:pPr>
              <w:ind w:firstLine="0"/>
              <w:rPr>
                <w:b/>
                <w:color w:val="000000" w:themeColor="text1"/>
                <w:sz w:val="28"/>
                <w:szCs w:val="28"/>
              </w:rPr>
            </w:pPr>
            <w:r w:rsidRPr="0044196C">
              <w:rPr>
                <w:b/>
                <w:color w:val="000000" w:themeColor="text1"/>
                <w:sz w:val="28"/>
                <w:szCs w:val="28"/>
              </w:rPr>
              <w:t>Шестакова М.В.</w:t>
            </w:r>
          </w:p>
        </w:tc>
        <w:tc>
          <w:tcPr>
            <w:tcW w:w="7360" w:type="dxa"/>
          </w:tcPr>
          <w:p w:rsidR="007339C4" w:rsidRPr="0044196C" w:rsidRDefault="007339C4" w:rsidP="007339C4">
            <w:pPr>
              <w:ind w:firstLine="0"/>
              <w:rPr>
                <w:color w:val="000000" w:themeColor="text1"/>
                <w:sz w:val="28"/>
                <w:szCs w:val="28"/>
              </w:rPr>
            </w:pPr>
            <w:r w:rsidRPr="0044196C">
              <w:rPr>
                <w:color w:val="000000" w:themeColor="text1"/>
                <w:sz w:val="28"/>
                <w:szCs w:val="28"/>
              </w:rPr>
              <w:t>чл.-корр. РАН, д.м.н., профессор, директор Института диабета заместитель директора ФГБУ "Эндокринологический научный Центр" Министерства здравоохранения Российской Федерации, Москва</w:t>
            </w:r>
          </w:p>
        </w:tc>
      </w:tr>
      <w:tr w:rsidR="007339C4" w:rsidRPr="0044196C" w:rsidTr="007339C4">
        <w:trPr>
          <w:trHeight w:val="219"/>
        </w:trPr>
        <w:tc>
          <w:tcPr>
            <w:tcW w:w="2518" w:type="dxa"/>
          </w:tcPr>
          <w:p w:rsidR="007339C4" w:rsidRPr="0044196C" w:rsidRDefault="007339C4" w:rsidP="007339C4">
            <w:pPr>
              <w:ind w:firstLine="0"/>
              <w:rPr>
                <w:b/>
                <w:color w:val="000000" w:themeColor="text1"/>
                <w:sz w:val="28"/>
                <w:szCs w:val="28"/>
              </w:rPr>
            </w:pPr>
            <w:r w:rsidRPr="0044196C">
              <w:rPr>
                <w:b/>
                <w:color w:val="000000" w:themeColor="text1"/>
                <w:sz w:val="28"/>
                <w:szCs w:val="28"/>
              </w:rPr>
              <w:t>Шутов А.М.</w:t>
            </w:r>
          </w:p>
        </w:tc>
        <w:tc>
          <w:tcPr>
            <w:tcW w:w="7360" w:type="dxa"/>
          </w:tcPr>
          <w:p w:rsidR="007339C4" w:rsidRPr="0044196C" w:rsidRDefault="007339C4" w:rsidP="007339C4">
            <w:pPr>
              <w:ind w:firstLine="0"/>
              <w:rPr>
                <w:color w:val="000000" w:themeColor="text1"/>
                <w:sz w:val="28"/>
                <w:szCs w:val="28"/>
              </w:rPr>
            </w:pPr>
            <w:r w:rsidRPr="0044196C">
              <w:rPr>
                <w:color w:val="000000" w:themeColor="text1"/>
                <w:sz w:val="28"/>
                <w:szCs w:val="28"/>
              </w:rPr>
              <w:t>д.м.н., профессор, заведующий кафедрой терапии и профессиональных болезней медицинского факультета, ФГБОУ ВПО «Ульяновский государственный университет», Ульяновск</w:t>
            </w:r>
          </w:p>
        </w:tc>
      </w:tr>
      <w:tr w:rsidR="007339C4" w:rsidRPr="0044196C" w:rsidTr="007339C4">
        <w:tc>
          <w:tcPr>
            <w:tcW w:w="2518" w:type="dxa"/>
          </w:tcPr>
          <w:p w:rsidR="007339C4" w:rsidRPr="0044196C" w:rsidRDefault="007339C4" w:rsidP="007339C4">
            <w:pPr>
              <w:ind w:firstLine="0"/>
              <w:rPr>
                <w:color w:val="000000" w:themeColor="text1"/>
                <w:sz w:val="28"/>
                <w:szCs w:val="28"/>
              </w:rPr>
            </w:pPr>
          </w:p>
        </w:tc>
        <w:tc>
          <w:tcPr>
            <w:tcW w:w="7360" w:type="dxa"/>
          </w:tcPr>
          <w:p w:rsidR="007339C4" w:rsidRPr="0044196C" w:rsidRDefault="007339C4" w:rsidP="007339C4">
            <w:pPr>
              <w:ind w:firstLine="0"/>
              <w:rPr>
                <w:color w:val="000000" w:themeColor="text1"/>
                <w:sz w:val="28"/>
                <w:szCs w:val="28"/>
              </w:rPr>
            </w:pPr>
          </w:p>
          <w:p w:rsidR="007339C4" w:rsidRPr="0044196C" w:rsidRDefault="007339C4" w:rsidP="007339C4">
            <w:pPr>
              <w:ind w:firstLine="0"/>
              <w:rPr>
                <w:color w:val="000000" w:themeColor="text1"/>
                <w:sz w:val="28"/>
                <w:szCs w:val="28"/>
              </w:rPr>
            </w:pPr>
            <w:r w:rsidRPr="0044196C">
              <w:rPr>
                <w:color w:val="000000" w:themeColor="text1"/>
                <w:sz w:val="28"/>
                <w:szCs w:val="28"/>
              </w:rPr>
              <w:t xml:space="preserve">                            </w:t>
            </w:r>
          </w:p>
        </w:tc>
      </w:tr>
    </w:tbl>
    <w:p w:rsidR="007339C4" w:rsidRPr="0044196C" w:rsidRDefault="007339C4" w:rsidP="007339C4">
      <w:pPr>
        <w:jc w:val="right"/>
        <w:rPr>
          <w:rFonts w:eastAsia="TimesNewRoman"/>
          <w:color w:val="000000" w:themeColor="text1"/>
          <w:sz w:val="28"/>
          <w:szCs w:val="28"/>
        </w:rPr>
      </w:pPr>
    </w:p>
    <w:p w:rsidR="00745EE6" w:rsidRPr="0044196C" w:rsidRDefault="00745EE6" w:rsidP="007339C4">
      <w:pPr>
        <w:pStyle w:val="af3"/>
        <w:rPr>
          <w:color w:val="000000" w:themeColor="text1"/>
          <w:sz w:val="28"/>
          <w:lang w:eastAsia="zh-CN"/>
        </w:rPr>
      </w:pPr>
    </w:p>
    <w:tbl>
      <w:tblPr>
        <w:tblStyle w:val="16"/>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2518"/>
        <w:gridCol w:w="7360"/>
      </w:tblGrid>
      <w:tr w:rsidR="00960243" w:rsidRPr="0044196C" w:rsidTr="009E73A7">
        <w:tc>
          <w:tcPr>
            <w:tcW w:w="2518" w:type="dxa"/>
          </w:tcPr>
          <w:p w:rsidR="00960243" w:rsidRPr="0044196C" w:rsidRDefault="00960243" w:rsidP="007339C4">
            <w:pPr>
              <w:spacing w:before="0" w:after="200"/>
              <w:ind w:firstLine="0"/>
              <w:jc w:val="left"/>
              <w:rPr>
                <w:rFonts w:asciiTheme="minorHAnsi" w:hAnsiTheme="minorHAnsi"/>
                <w:b/>
                <w:color w:val="000000" w:themeColor="text1"/>
                <w:sz w:val="28"/>
                <w:szCs w:val="26"/>
              </w:rPr>
            </w:pPr>
          </w:p>
        </w:tc>
        <w:tc>
          <w:tcPr>
            <w:tcW w:w="7360" w:type="dxa"/>
          </w:tcPr>
          <w:p w:rsidR="00960243" w:rsidRPr="0044196C" w:rsidRDefault="00960243" w:rsidP="00FC68B0">
            <w:pPr>
              <w:ind w:firstLine="0"/>
              <w:rPr>
                <w:rFonts w:asciiTheme="minorHAnsi" w:hAnsiTheme="minorHAnsi"/>
                <w:b/>
                <w:color w:val="000000" w:themeColor="text1"/>
                <w:sz w:val="26"/>
                <w:szCs w:val="26"/>
              </w:rPr>
            </w:pPr>
          </w:p>
          <w:p w:rsidR="007339C4" w:rsidRPr="0044196C" w:rsidRDefault="007339C4" w:rsidP="00FC68B0">
            <w:pPr>
              <w:ind w:firstLine="0"/>
              <w:rPr>
                <w:rFonts w:asciiTheme="minorHAnsi" w:hAnsiTheme="minorHAnsi"/>
                <w:b/>
                <w:color w:val="000000" w:themeColor="text1"/>
                <w:sz w:val="26"/>
                <w:szCs w:val="26"/>
              </w:rPr>
            </w:pPr>
          </w:p>
          <w:p w:rsidR="007339C4" w:rsidRPr="0044196C" w:rsidRDefault="007339C4" w:rsidP="00FC68B0">
            <w:pPr>
              <w:ind w:firstLine="0"/>
              <w:rPr>
                <w:rFonts w:asciiTheme="minorHAnsi" w:hAnsiTheme="minorHAnsi"/>
                <w:b/>
                <w:color w:val="000000" w:themeColor="text1"/>
                <w:sz w:val="26"/>
                <w:szCs w:val="26"/>
              </w:rPr>
            </w:pPr>
          </w:p>
          <w:p w:rsidR="007339C4" w:rsidRPr="0044196C" w:rsidRDefault="007339C4" w:rsidP="00FC68B0">
            <w:pPr>
              <w:ind w:firstLine="0"/>
              <w:rPr>
                <w:rFonts w:asciiTheme="minorHAnsi" w:hAnsiTheme="minorHAnsi"/>
                <w:b/>
                <w:color w:val="000000" w:themeColor="text1"/>
                <w:sz w:val="26"/>
                <w:szCs w:val="26"/>
              </w:rPr>
            </w:pPr>
          </w:p>
          <w:p w:rsidR="007339C4" w:rsidRPr="0044196C" w:rsidRDefault="007339C4" w:rsidP="00FC68B0">
            <w:pPr>
              <w:ind w:firstLine="0"/>
              <w:rPr>
                <w:rFonts w:asciiTheme="minorHAnsi" w:hAnsiTheme="minorHAnsi"/>
                <w:b/>
                <w:color w:val="000000" w:themeColor="text1"/>
                <w:sz w:val="26"/>
                <w:szCs w:val="26"/>
              </w:rPr>
            </w:pPr>
          </w:p>
          <w:p w:rsidR="007339C4" w:rsidRDefault="007339C4" w:rsidP="00FC68B0">
            <w:pPr>
              <w:ind w:firstLine="0"/>
              <w:rPr>
                <w:rFonts w:asciiTheme="minorHAnsi" w:hAnsiTheme="minorHAnsi"/>
                <w:b/>
                <w:color w:val="000000" w:themeColor="text1"/>
                <w:sz w:val="26"/>
                <w:szCs w:val="26"/>
              </w:rPr>
            </w:pPr>
          </w:p>
          <w:p w:rsidR="00774EEE" w:rsidRDefault="00774EEE" w:rsidP="00FC68B0">
            <w:pPr>
              <w:ind w:firstLine="0"/>
              <w:rPr>
                <w:rFonts w:asciiTheme="minorHAnsi" w:hAnsiTheme="minorHAnsi"/>
                <w:b/>
                <w:color w:val="000000" w:themeColor="text1"/>
                <w:sz w:val="26"/>
                <w:szCs w:val="26"/>
              </w:rPr>
            </w:pPr>
          </w:p>
          <w:p w:rsidR="00774EEE" w:rsidRPr="0044196C" w:rsidRDefault="00774EEE" w:rsidP="00FC68B0">
            <w:pPr>
              <w:ind w:firstLine="0"/>
              <w:rPr>
                <w:rFonts w:asciiTheme="minorHAnsi" w:hAnsiTheme="minorHAnsi"/>
                <w:b/>
                <w:color w:val="000000" w:themeColor="text1"/>
                <w:sz w:val="26"/>
                <w:szCs w:val="26"/>
              </w:rPr>
            </w:pPr>
          </w:p>
          <w:p w:rsidR="007339C4" w:rsidRPr="0044196C" w:rsidRDefault="007339C4" w:rsidP="00FC68B0">
            <w:pPr>
              <w:ind w:firstLine="0"/>
              <w:rPr>
                <w:rFonts w:asciiTheme="minorHAnsi" w:hAnsiTheme="minorHAnsi"/>
                <w:b/>
                <w:color w:val="000000" w:themeColor="text1"/>
                <w:sz w:val="26"/>
                <w:szCs w:val="26"/>
              </w:rPr>
            </w:pPr>
          </w:p>
        </w:tc>
      </w:tr>
      <w:tr w:rsidR="00960243" w:rsidRPr="0044196C" w:rsidTr="00960243">
        <w:trPr>
          <w:trHeight w:val="144"/>
        </w:trPr>
        <w:tc>
          <w:tcPr>
            <w:tcW w:w="9878" w:type="dxa"/>
            <w:gridSpan w:val="2"/>
          </w:tcPr>
          <w:p w:rsidR="007339C4" w:rsidRPr="0044196C" w:rsidRDefault="007339C4" w:rsidP="007339C4">
            <w:pPr>
              <w:spacing w:line="360" w:lineRule="auto"/>
              <w:ind w:firstLine="0"/>
              <w:jc w:val="center"/>
              <w:rPr>
                <w:rFonts w:cs="Arial"/>
                <w:color w:val="000000" w:themeColor="text1"/>
                <w:sz w:val="28"/>
                <w:szCs w:val="28"/>
              </w:rPr>
            </w:pPr>
            <w:r w:rsidRPr="0044196C">
              <w:rPr>
                <w:color w:val="000000" w:themeColor="text1"/>
                <w:sz w:val="28"/>
                <w:szCs w:val="28"/>
              </w:rPr>
              <w:t>Срок пересмотра рекомендаций:     2019  г.</w:t>
            </w:r>
          </w:p>
          <w:p w:rsidR="00960243" w:rsidRPr="0044196C" w:rsidRDefault="00960243" w:rsidP="00960243">
            <w:pPr>
              <w:spacing w:before="240"/>
              <w:ind w:firstLine="0"/>
              <w:rPr>
                <w:rFonts w:asciiTheme="minorHAnsi" w:hAnsiTheme="minorHAnsi"/>
                <w:b/>
                <w:color w:val="000000" w:themeColor="text1"/>
                <w:sz w:val="2"/>
                <w:szCs w:val="2"/>
              </w:rPr>
            </w:pPr>
          </w:p>
        </w:tc>
      </w:tr>
    </w:tbl>
    <w:sdt>
      <w:sdtPr>
        <w:rPr>
          <w:rFonts w:ascii="Times New Roman" w:eastAsiaTheme="minorEastAsia" w:hAnsi="Times New Roman" w:cstheme="minorBidi"/>
          <w:b w:val="0"/>
          <w:bCs w:val="0"/>
          <w:color w:val="000000" w:themeColor="text1"/>
          <w:sz w:val="24"/>
          <w:szCs w:val="22"/>
        </w:rPr>
        <w:id w:val="207767987"/>
        <w:docPartObj>
          <w:docPartGallery w:val="Table of Contents"/>
          <w:docPartUnique/>
        </w:docPartObj>
      </w:sdtPr>
      <w:sdtContent>
        <w:p w:rsidR="00C52390" w:rsidRPr="0044196C" w:rsidRDefault="00C52390" w:rsidP="00C52390">
          <w:pPr>
            <w:pStyle w:val="af"/>
            <w:rPr>
              <w:color w:val="000000" w:themeColor="text1"/>
            </w:rPr>
          </w:pPr>
          <w:r w:rsidRPr="0044196C">
            <w:rPr>
              <w:color w:val="000000" w:themeColor="text1"/>
            </w:rPr>
            <w:t>Оглавление</w:t>
          </w:r>
        </w:p>
        <w:p w:rsidR="00B12703" w:rsidRPr="0044196C" w:rsidRDefault="009D7C63" w:rsidP="00CC2B3A">
          <w:pPr>
            <w:pStyle w:val="13"/>
            <w:rPr>
              <w:rFonts w:asciiTheme="minorHAnsi" w:hAnsiTheme="minorHAnsi"/>
              <w:b/>
              <w:noProof/>
              <w:color w:val="000000" w:themeColor="text1"/>
              <w:szCs w:val="24"/>
              <w:lang w:eastAsia="ja-JP"/>
            </w:rPr>
          </w:pPr>
          <w:r w:rsidRPr="0044196C">
            <w:rPr>
              <w:color w:val="000000" w:themeColor="text1"/>
            </w:rPr>
            <w:fldChar w:fldCharType="begin"/>
          </w:r>
          <w:r w:rsidR="00C52390" w:rsidRPr="0044196C">
            <w:rPr>
              <w:color w:val="000000" w:themeColor="text1"/>
            </w:rPr>
            <w:instrText xml:space="preserve"> TOC \o "1-3" \h \z \u </w:instrText>
          </w:r>
          <w:r w:rsidRPr="0044196C">
            <w:rPr>
              <w:color w:val="000000" w:themeColor="text1"/>
            </w:rPr>
            <w:fldChar w:fldCharType="separate"/>
          </w:r>
          <w:r w:rsidR="00B12703" w:rsidRPr="0044196C">
            <w:rPr>
              <w:noProof/>
              <w:color w:val="000000" w:themeColor="text1"/>
            </w:rPr>
            <w:t>Сокращения</w:t>
          </w:r>
          <w:r w:rsidR="00B12703" w:rsidRPr="0044196C">
            <w:rPr>
              <w:noProof/>
              <w:color w:val="000000" w:themeColor="text1"/>
            </w:rPr>
            <w:tab/>
          </w:r>
          <w:r w:rsidR="007339C4" w:rsidRPr="0044196C">
            <w:rPr>
              <w:noProof/>
              <w:color w:val="000000" w:themeColor="text1"/>
            </w:rPr>
            <w:t>4</w:t>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Резюме рекомендаций</w:t>
          </w:r>
          <w:r w:rsidRPr="0044196C">
            <w:rPr>
              <w:noProof/>
              <w:color w:val="000000" w:themeColor="text1"/>
            </w:rPr>
            <w:tab/>
          </w:r>
          <w:r w:rsidR="007339C4" w:rsidRPr="0044196C">
            <w:rPr>
              <w:noProof/>
              <w:color w:val="000000" w:themeColor="text1"/>
            </w:rPr>
            <w:t>5</w:t>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1.Введение</w:t>
          </w:r>
          <w:r w:rsidRPr="0044196C">
            <w:rPr>
              <w:noProof/>
              <w:color w:val="000000" w:themeColor="text1"/>
            </w:rPr>
            <w:tab/>
          </w:r>
          <w:r w:rsidR="0044196C" w:rsidRPr="0044196C">
            <w:rPr>
              <w:noProof/>
              <w:color w:val="000000" w:themeColor="text1"/>
            </w:rPr>
            <w:t>10</w:t>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2.Методология</w:t>
          </w:r>
          <w:r w:rsidRPr="0044196C">
            <w:rPr>
              <w:noProof/>
              <w:color w:val="000000" w:themeColor="text1"/>
            </w:rPr>
            <w:tab/>
          </w:r>
          <w:r w:rsidR="009D7C63" w:rsidRPr="0044196C">
            <w:rPr>
              <w:noProof/>
              <w:color w:val="000000" w:themeColor="text1"/>
            </w:rPr>
            <w:fldChar w:fldCharType="begin"/>
          </w:r>
          <w:r w:rsidRPr="0044196C">
            <w:rPr>
              <w:noProof/>
              <w:color w:val="000000" w:themeColor="text1"/>
            </w:rPr>
            <w:instrText xml:space="preserve"> PAGEREF _Toc279831038 \h </w:instrText>
          </w:r>
          <w:r w:rsidR="009D7C63" w:rsidRPr="0044196C">
            <w:rPr>
              <w:noProof/>
              <w:color w:val="000000" w:themeColor="text1"/>
            </w:rPr>
          </w:r>
          <w:r w:rsidR="009D7C63" w:rsidRPr="0044196C">
            <w:rPr>
              <w:noProof/>
              <w:color w:val="000000" w:themeColor="text1"/>
            </w:rPr>
            <w:fldChar w:fldCharType="separate"/>
          </w:r>
          <w:r w:rsidRPr="0044196C">
            <w:rPr>
              <w:noProof/>
              <w:color w:val="000000" w:themeColor="text1"/>
            </w:rPr>
            <w:t>1</w:t>
          </w:r>
          <w:r w:rsidR="0044196C" w:rsidRPr="0044196C">
            <w:rPr>
              <w:noProof/>
              <w:color w:val="000000" w:themeColor="text1"/>
            </w:rPr>
            <w:t>2</w:t>
          </w:r>
          <w:r w:rsidR="009D7C63" w:rsidRPr="0044196C">
            <w:rPr>
              <w:noProof/>
              <w:color w:val="000000" w:themeColor="text1"/>
            </w:rPr>
            <w:fldChar w:fldCharType="end"/>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3.Определения</w:t>
          </w:r>
          <w:r w:rsidRPr="0044196C">
            <w:rPr>
              <w:noProof/>
              <w:color w:val="000000" w:themeColor="text1"/>
            </w:rPr>
            <w:tab/>
          </w:r>
          <w:r w:rsidR="009D7C63" w:rsidRPr="0044196C">
            <w:rPr>
              <w:noProof/>
              <w:color w:val="000000" w:themeColor="text1"/>
            </w:rPr>
            <w:fldChar w:fldCharType="begin"/>
          </w:r>
          <w:r w:rsidRPr="0044196C">
            <w:rPr>
              <w:noProof/>
              <w:color w:val="000000" w:themeColor="text1"/>
            </w:rPr>
            <w:instrText xml:space="preserve"> PAGEREF _Toc279831039 \h </w:instrText>
          </w:r>
          <w:r w:rsidR="009D7C63" w:rsidRPr="0044196C">
            <w:rPr>
              <w:noProof/>
              <w:color w:val="000000" w:themeColor="text1"/>
            </w:rPr>
          </w:r>
          <w:r w:rsidR="009D7C63" w:rsidRPr="0044196C">
            <w:rPr>
              <w:noProof/>
              <w:color w:val="000000" w:themeColor="text1"/>
            </w:rPr>
            <w:fldChar w:fldCharType="separate"/>
          </w:r>
          <w:r w:rsidRPr="0044196C">
            <w:rPr>
              <w:noProof/>
              <w:color w:val="000000" w:themeColor="text1"/>
            </w:rPr>
            <w:t>1</w:t>
          </w:r>
          <w:r w:rsidR="0044196C" w:rsidRPr="0044196C">
            <w:rPr>
              <w:noProof/>
              <w:color w:val="000000" w:themeColor="text1"/>
            </w:rPr>
            <w:t>4</w:t>
          </w:r>
          <w:r w:rsidR="009D7C63" w:rsidRPr="0044196C">
            <w:rPr>
              <w:noProof/>
              <w:color w:val="000000" w:themeColor="text1"/>
            </w:rPr>
            <w:fldChar w:fldCharType="end"/>
          </w:r>
        </w:p>
        <w:p w:rsidR="00FC68B0" w:rsidRPr="0044196C" w:rsidRDefault="00B12703" w:rsidP="00CC2B3A">
          <w:pPr>
            <w:pStyle w:val="13"/>
            <w:rPr>
              <w:noProof/>
              <w:color w:val="000000" w:themeColor="text1"/>
            </w:rPr>
          </w:pPr>
          <w:r w:rsidRPr="0044196C">
            <w:rPr>
              <w:noProof/>
              <w:color w:val="000000" w:themeColor="text1"/>
            </w:rPr>
            <w:t>4.</w:t>
          </w:r>
          <w:r w:rsidRPr="0044196C">
            <w:rPr>
              <w:rFonts w:asciiTheme="minorHAnsi" w:hAnsiTheme="minorHAnsi"/>
              <w:b/>
              <w:noProof/>
              <w:color w:val="000000" w:themeColor="text1"/>
              <w:szCs w:val="24"/>
              <w:lang w:eastAsia="ja-JP"/>
            </w:rPr>
            <w:tab/>
          </w:r>
          <w:r w:rsidRPr="0044196C">
            <w:rPr>
              <w:noProof/>
              <w:color w:val="000000" w:themeColor="text1"/>
            </w:rPr>
            <w:t xml:space="preserve">Частота АГ при различных заболеваниях почек.  Клиническое и прогностическое </w:t>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значение  вторичной почечной АГ</w:t>
          </w:r>
          <w:r w:rsidRPr="0044196C">
            <w:rPr>
              <w:noProof/>
              <w:color w:val="000000" w:themeColor="text1"/>
            </w:rPr>
            <w:tab/>
          </w:r>
          <w:r w:rsidR="009D7C63" w:rsidRPr="0044196C">
            <w:rPr>
              <w:noProof/>
              <w:color w:val="000000" w:themeColor="text1"/>
            </w:rPr>
            <w:fldChar w:fldCharType="begin"/>
          </w:r>
          <w:r w:rsidRPr="0044196C">
            <w:rPr>
              <w:noProof/>
              <w:color w:val="000000" w:themeColor="text1"/>
            </w:rPr>
            <w:instrText xml:space="preserve"> PAGEREF _Toc279831040 \h </w:instrText>
          </w:r>
          <w:r w:rsidR="009D7C63" w:rsidRPr="0044196C">
            <w:rPr>
              <w:noProof/>
              <w:color w:val="000000" w:themeColor="text1"/>
            </w:rPr>
          </w:r>
          <w:r w:rsidR="009D7C63" w:rsidRPr="0044196C">
            <w:rPr>
              <w:noProof/>
              <w:color w:val="000000" w:themeColor="text1"/>
            </w:rPr>
            <w:fldChar w:fldCharType="separate"/>
          </w:r>
          <w:r w:rsidRPr="0044196C">
            <w:rPr>
              <w:noProof/>
              <w:color w:val="000000" w:themeColor="text1"/>
            </w:rPr>
            <w:t>1</w:t>
          </w:r>
          <w:r w:rsidR="0044196C" w:rsidRPr="0044196C">
            <w:rPr>
              <w:noProof/>
              <w:color w:val="000000" w:themeColor="text1"/>
            </w:rPr>
            <w:t>6</w:t>
          </w:r>
          <w:r w:rsidR="009D7C63" w:rsidRPr="0044196C">
            <w:rPr>
              <w:noProof/>
              <w:color w:val="000000" w:themeColor="text1"/>
            </w:rPr>
            <w:fldChar w:fldCharType="end"/>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5.Тактика обследования пациентов с почечной АГ</w:t>
          </w:r>
          <w:r w:rsidR="00FC68B0" w:rsidRPr="0044196C">
            <w:rPr>
              <w:noProof/>
              <w:color w:val="000000" w:themeColor="text1"/>
            </w:rPr>
            <w:t>………………………………….</w:t>
          </w:r>
          <w:r w:rsidR="009D7C63" w:rsidRPr="0044196C">
            <w:rPr>
              <w:noProof/>
              <w:color w:val="000000" w:themeColor="text1"/>
            </w:rPr>
            <w:fldChar w:fldCharType="begin"/>
          </w:r>
          <w:r w:rsidRPr="0044196C">
            <w:rPr>
              <w:noProof/>
              <w:color w:val="000000" w:themeColor="text1"/>
            </w:rPr>
            <w:instrText xml:space="preserve"> PAGEREF _Toc279831041 \h </w:instrText>
          </w:r>
          <w:r w:rsidR="009D7C63" w:rsidRPr="0044196C">
            <w:rPr>
              <w:noProof/>
              <w:color w:val="000000" w:themeColor="text1"/>
            </w:rPr>
          </w:r>
          <w:r w:rsidR="009D7C63" w:rsidRPr="0044196C">
            <w:rPr>
              <w:noProof/>
              <w:color w:val="000000" w:themeColor="text1"/>
            </w:rPr>
            <w:fldChar w:fldCharType="separate"/>
          </w:r>
          <w:r w:rsidRPr="0044196C">
            <w:rPr>
              <w:noProof/>
              <w:color w:val="000000" w:themeColor="text1"/>
            </w:rPr>
            <w:t>1</w:t>
          </w:r>
          <w:r w:rsidR="0044196C" w:rsidRPr="0044196C">
            <w:rPr>
              <w:noProof/>
              <w:color w:val="000000" w:themeColor="text1"/>
            </w:rPr>
            <w:t>8</w:t>
          </w:r>
          <w:r w:rsidR="009D7C63" w:rsidRPr="0044196C">
            <w:rPr>
              <w:noProof/>
              <w:color w:val="000000" w:themeColor="text1"/>
            </w:rPr>
            <w:fldChar w:fldCharType="end"/>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6.</w:t>
          </w:r>
          <w:r w:rsidR="00FC68B0" w:rsidRPr="0044196C">
            <w:rPr>
              <w:noProof/>
              <w:color w:val="000000" w:themeColor="text1"/>
            </w:rPr>
            <w:t xml:space="preserve"> Ц</w:t>
          </w:r>
          <w:r w:rsidRPr="0044196C">
            <w:rPr>
              <w:noProof/>
              <w:color w:val="000000" w:themeColor="text1"/>
            </w:rPr>
            <w:t>елевое АД у больных с вторичной почечной АГ</w:t>
          </w:r>
          <w:r w:rsidR="00FC68B0" w:rsidRPr="0044196C">
            <w:rPr>
              <w:noProof/>
              <w:color w:val="000000" w:themeColor="text1"/>
            </w:rPr>
            <w:t>………………………………...</w:t>
          </w:r>
          <w:r w:rsidR="009D7C63" w:rsidRPr="0044196C">
            <w:rPr>
              <w:noProof/>
              <w:color w:val="000000" w:themeColor="text1"/>
            </w:rPr>
            <w:fldChar w:fldCharType="begin"/>
          </w:r>
          <w:r w:rsidRPr="0044196C">
            <w:rPr>
              <w:noProof/>
              <w:color w:val="000000" w:themeColor="text1"/>
            </w:rPr>
            <w:instrText xml:space="preserve"> PAGEREF _Toc279831042 \h </w:instrText>
          </w:r>
          <w:r w:rsidR="009D7C63" w:rsidRPr="0044196C">
            <w:rPr>
              <w:noProof/>
              <w:color w:val="000000" w:themeColor="text1"/>
            </w:rPr>
          </w:r>
          <w:r w:rsidR="009D7C63" w:rsidRPr="0044196C">
            <w:rPr>
              <w:noProof/>
              <w:color w:val="000000" w:themeColor="text1"/>
            </w:rPr>
            <w:fldChar w:fldCharType="separate"/>
          </w:r>
          <w:r w:rsidRPr="0044196C">
            <w:rPr>
              <w:noProof/>
              <w:color w:val="000000" w:themeColor="text1"/>
            </w:rPr>
            <w:t>2</w:t>
          </w:r>
          <w:r w:rsidR="0044196C" w:rsidRPr="0044196C">
            <w:rPr>
              <w:noProof/>
              <w:color w:val="000000" w:themeColor="text1"/>
            </w:rPr>
            <w:t>5</w:t>
          </w:r>
          <w:r w:rsidR="009D7C63" w:rsidRPr="0044196C">
            <w:rPr>
              <w:noProof/>
              <w:color w:val="000000" w:themeColor="text1"/>
            </w:rPr>
            <w:fldChar w:fldCharType="end"/>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7.</w:t>
          </w:r>
          <w:r w:rsidR="00FC68B0" w:rsidRPr="0044196C">
            <w:rPr>
              <w:noProof/>
              <w:color w:val="000000" w:themeColor="text1"/>
            </w:rPr>
            <w:t xml:space="preserve"> </w:t>
          </w:r>
          <w:r w:rsidRPr="0044196C">
            <w:rPr>
              <w:noProof/>
              <w:color w:val="000000" w:themeColor="text1"/>
            </w:rPr>
            <w:t>Образ жизни и диета больных с вторичной почечной АГ</w:t>
          </w:r>
          <w:r w:rsidR="00FC68B0" w:rsidRPr="0044196C">
            <w:rPr>
              <w:noProof/>
              <w:color w:val="000000" w:themeColor="text1"/>
            </w:rPr>
            <w:t>………………………...</w:t>
          </w:r>
          <w:r w:rsidR="009D7C63" w:rsidRPr="0044196C">
            <w:rPr>
              <w:noProof/>
              <w:color w:val="000000" w:themeColor="text1"/>
            </w:rPr>
            <w:fldChar w:fldCharType="begin"/>
          </w:r>
          <w:r w:rsidRPr="0044196C">
            <w:rPr>
              <w:noProof/>
              <w:color w:val="000000" w:themeColor="text1"/>
            </w:rPr>
            <w:instrText xml:space="preserve"> PAGEREF _Toc279831043 \h </w:instrText>
          </w:r>
          <w:r w:rsidR="009D7C63" w:rsidRPr="0044196C">
            <w:rPr>
              <w:noProof/>
              <w:color w:val="000000" w:themeColor="text1"/>
            </w:rPr>
          </w:r>
          <w:r w:rsidR="009D7C63" w:rsidRPr="0044196C">
            <w:rPr>
              <w:noProof/>
              <w:color w:val="000000" w:themeColor="text1"/>
            </w:rPr>
            <w:fldChar w:fldCharType="separate"/>
          </w:r>
          <w:r w:rsidRPr="0044196C">
            <w:rPr>
              <w:noProof/>
              <w:color w:val="000000" w:themeColor="text1"/>
            </w:rPr>
            <w:t>2</w:t>
          </w:r>
          <w:r w:rsidR="0044196C" w:rsidRPr="0044196C">
            <w:rPr>
              <w:noProof/>
              <w:color w:val="000000" w:themeColor="text1"/>
            </w:rPr>
            <w:t>9</w:t>
          </w:r>
          <w:r w:rsidR="009D7C63" w:rsidRPr="0044196C">
            <w:rPr>
              <w:noProof/>
              <w:color w:val="000000" w:themeColor="text1"/>
            </w:rPr>
            <w:fldChar w:fldCharType="end"/>
          </w:r>
        </w:p>
        <w:p w:rsidR="00B12703" w:rsidRPr="0044196C" w:rsidRDefault="00FC68B0" w:rsidP="00CC2B3A">
          <w:pPr>
            <w:pStyle w:val="13"/>
            <w:rPr>
              <w:rFonts w:asciiTheme="minorHAnsi" w:hAnsiTheme="minorHAnsi"/>
              <w:b/>
              <w:noProof/>
              <w:color w:val="000000" w:themeColor="text1"/>
              <w:szCs w:val="24"/>
              <w:lang w:eastAsia="ja-JP"/>
            </w:rPr>
          </w:pPr>
          <w:r w:rsidRPr="0044196C">
            <w:rPr>
              <w:noProof/>
              <w:color w:val="000000" w:themeColor="text1"/>
            </w:rPr>
            <w:t xml:space="preserve">8. </w:t>
          </w:r>
          <w:r w:rsidR="00B12703" w:rsidRPr="0044196C">
            <w:rPr>
              <w:noProof/>
              <w:color w:val="000000" w:themeColor="text1"/>
            </w:rPr>
            <w:t>Лекарственное лечение вторичной почечной АГ</w:t>
          </w:r>
          <w:r w:rsidRPr="0044196C">
            <w:rPr>
              <w:noProof/>
              <w:color w:val="000000" w:themeColor="text1"/>
            </w:rPr>
            <w:t>………………………………….</w:t>
          </w:r>
          <w:r w:rsidR="009D7C63" w:rsidRPr="0044196C">
            <w:rPr>
              <w:noProof/>
              <w:color w:val="000000" w:themeColor="text1"/>
            </w:rPr>
            <w:fldChar w:fldCharType="begin"/>
          </w:r>
          <w:r w:rsidR="00B12703" w:rsidRPr="0044196C">
            <w:rPr>
              <w:noProof/>
              <w:color w:val="000000" w:themeColor="text1"/>
            </w:rPr>
            <w:instrText xml:space="preserve"> PAGEREF _Toc279831044 \h </w:instrText>
          </w:r>
          <w:r w:rsidR="009D7C63" w:rsidRPr="0044196C">
            <w:rPr>
              <w:noProof/>
              <w:color w:val="000000" w:themeColor="text1"/>
            </w:rPr>
          </w:r>
          <w:r w:rsidR="009D7C63" w:rsidRPr="0044196C">
            <w:rPr>
              <w:noProof/>
              <w:color w:val="000000" w:themeColor="text1"/>
            </w:rPr>
            <w:fldChar w:fldCharType="separate"/>
          </w:r>
          <w:r w:rsidR="00B12703" w:rsidRPr="0044196C">
            <w:rPr>
              <w:noProof/>
              <w:color w:val="000000" w:themeColor="text1"/>
            </w:rPr>
            <w:t>3</w:t>
          </w:r>
          <w:r w:rsidR="0044196C" w:rsidRPr="0044196C">
            <w:rPr>
              <w:noProof/>
              <w:color w:val="000000" w:themeColor="text1"/>
            </w:rPr>
            <w:t>4</w:t>
          </w:r>
          <w:r w:rsidR="009D7C63" w:rsidRPr="0044196C">
            <w:rPr>
              <w:noProof/>
              <w:color w:val="000000" w:themeColor="text1"/>
            </w:rPr>
            <w:fldChar w:fldCharType="end"/>
          </w:r>
        </w:p>
        <w:p w:rsidR="00FC68B0" w:rsidRPr="0044196C" w:rsidRDefault="00B12703" w:rsidP="00CC2B3A">
          <w:pPr>
            <w:pStyle w:val="13"/>
            <w:rPr>
              <w:noProof/>
              <w:color w:val="000000" w:themeColor="text1"/>
            </w:rPr>
          </w:pPr>
          <w:r w:rsidRPr="0044196C">
            <w:rPr>
              <w:rFonts w:cs="Times New Roman"/>
              <w:noProof/>
              <w:color w:val="000000" w:themeColor="text1"/>
            </w:rPr>
            <w:t>9.</w:t>
          </w:r>
          <w:r w:rsidR="00FC68B0" w:rsidRPr="0044196C">
            <w:rPr>
              <w:rFonts w:cs="Times New Roman"/>
              <w:noProof/>
              <w:color w:val="000000" w:themeColor="text1"/>
            </w:rPr>
            <w:t xml:space="preserve"> </w:t>
          </w:r>
          <w:r w:rsidRPr="0044196C">
            <w:rPr>
              <w:noProof/>
              <w:color w:val="000000" w:themeColor="text1"/>
            </w:rPr>
            <w:t xml:space="preserve">Особенности лечения АГ у больных, получающих заместительную почечную </w:t>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терапию</w:t>
          </w:r>
          <w:r w:rsidR="00FC68B0" w:rsidRPr="0044196C">
            <w:rPr>
              <w:noProof/>
              <w:color w:val="000000" w:themeColor="text1"/>
            </w:rPr>
            <w:t>………………………………………………………………………………….</w:t>
          </w:r>
          <w:r w:rsidR="009D7C63" w:rsidRPr="0044196C">
            <w:rPr>
              <w:noProof/>
              <w:color w:val="000000" w:themeColor="text1"/>
            </w:rPr>
            <w:fldChar w:fldCharType="begin"/>
          </w:r>
          <w:r w:rsidRPr="0044196C">
            <w:rPr>
              <w:noProof/>
              <w:color w:val="000000" w:themeColor="text1"/>
            </w:rPr>
            <w:instrText xml:space="preserve"> PAGEREF _Toc279831045 \h </w:instrText>
          </w:r>
          <w:r w:rsidR="009D7C63" w:rsidRPr="0044196C">
            <w:rPr>
              <w:noProof/>
              <w:color w:val="000000" w:themeColor="text1"/>
            </w:rPr>
          </w:r>
          <w:r w:rsidR="009D7C63" w:rsidRPr="0044196C">
            <w:rPr>
              <w:noProof/>
              <w:color w:val="000000" w:themeColor="text1"/>
            </w:rPr>
            <w:fldChar w:fldCharType="separate"/>
          </w:r>
          <w:r w:rsidRPr="0044196C">
            <w:rPr>
              <w:noProof/>
              <w:color w:val="000000" w:themeColor="text1"/>
            </w:rPr>
            <w:t>4</w:t>
          </w:r>
          <w:r w:rsidR="0044196C" w:rsidRPr="0044196C">
            <w:rPr>
              <w:noProof/>
              <w:color w:val="000000" w:themeColor="text1"/>
            </w:rPr>
            <w:t>9</w:t>
          </w:r>
          <w:r w:rsidR="009D7C63" w:rsidRPr="0044196C">
            <w:rPr>
              <w:noProof/>
              <w:color w:val="000000" w:themeColor="text1"/>
            </w:rPr>
            <w:fldChar w:fldCharType="end"/>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10.</w:t>
          </w:r>
          <w:r w:rsidR="00FC68B0" w:rsidRPr="0044196C">
            <w:rPr>
              <w:noProof/>
              <w:color w:val="000000" w:themeColor="text1"/>
            </w:rPr>
            <w:t xml:space="preserve"> </w:t>
          </w:r>
          <w:r w:rsidRPr="0044196C">
            <w:rPr>
              <w:noProof/>
              <w:color w:val="000000" w:themeColor="text1"/>
            </w:rPr>
            <w:t>Особенности</w:t>
          </w:r>
          <w:r w:rsidR="00FC68B0" w:rsidRPr="0044196C">
            <w:rPr>
              <w:noProof/>
              <w:color w:val="000000" w:themeColor="text1"/>
            </w:rPr>
            <w:t xml:space="preserve"> лечения АГ у детей………………………………………………….</w:t>
          </w:r>
          <w:r w:rsidR="009D7C63" w:rsidRPr="0044196C">
            <w:rPr>
              <w:noProof/>
              <w:color w:val="000000" w:themeColor="text1"/>
            </w:rPr>
            <w:fldChar w:fldCharType="begin"/>
          </w:r>
          <w:r w:rsidRPr="0044196C">
            <w:rPr>
              <w:noProof/>
              <w:color w:val="000000" w:themeColor="text1"/>
            </w:rPr>
            <w:instrText xml:space="preserve"> PAGEREF _Toc279831046 \h </w:instrText>
          </w:r>
          <w:r w:rsidR="009D7C63" w:rsidRPr="0044196C">
            <w:rPr>
              <w:noProof/>
              <w:color w:val="000000" w:themeColor="text1"/>
            </w:rPr>
          </w:r>
          <w:r w:rsidR="009D7C63" w:rsidRPr="0044196C">
            <w:rPr>
              <w:noProof/>
              <w:color w:val="000000" w:themeColor="text1"/>
            </w:rPr>
            <w:fldChar w:fldCharType="separate"/>
          </w:r>
          <w:r w:rsidRPr="0044196C">
            <w:rPr>
              <w:noProof/>
              <w:color w:val="000000" w:themeColor="text1"/>
            </w:rPr>
            <w:t>4</w:t>
          </w:r>
          <w:r w:rsidR="0044196C" w:rsidRPr="0044196C">
            <w:rPr>
              <w:noProof/>
              <w:color w:val="000000" w:themeColor="text1"/>
            </w:rPr>
            <w:t>9</w:t>
          </w:r>
          <w:r w:rsidR="009D7C63" w:rsidRPr="0044196C">
            <w:rPr>
              <w:noProof/>
              <w:color w:val="000000" w:themeColor="text1"/>
            </w:rPr>
            <w:fldChar w:fldCharType="end"/>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11.</w:t>
          </w:r>
          <w:r w:rsidR="00FC68B0" w:rsidRPr="0044196C">
            <w:rPr>
              <w:noProof/>
              <w:color w:val="000000" w:themeColor="text1"/>
            </w:rPr>
            <w:t>О</w:t>
          </w:r>
          <w:r w:rsidRPr="0044196C">
            <w:rPr>
              <w:noProof/>
              <w:color w:val="000000" w:themeColor="text1"/>
            </w:rPr>
            <w:t>собенности лечения АГ у больных пожилого и старческого возраста</w:t>
          </w:r>
          <w:r w:rsidR="00FC68B0" w:rsidRPr="0044196C">
            <w:rPr>
              <w:noProof/>
              <w:color w:val="000000" w:themeColor="text1"/>
            </w:rPr>
            <w:t>………...</w:t>
          </w:r>
          <w:r w:rsidR="0044196C" w:rsidRPr="0044196C">
            <w:rPr>
              <w:noProof/>
              <w:color w:val="000000" w:themeColor="text1"/>
            </w:rPr>
            <w:t>50</w:t>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12.</w:t>
          </w:r>
          <w:r w:rsidR="00FC68B0" w:rsidRPr="0044196C">
            <w:rPr>
              <w:noProof/>
              <w:color w:val="000000" w:themeColor="text1"/>
            </w:rPr>
            <w:t>З</w:t>
          </w:r>
          <w:r w:rsidRPr="0044196C">
            <w:rPr>
              <w:noProof/>
              <w:color w:val="000000" w:themeColor="text1"/>
            </w:rPr>
            <w:t>аключение</w:t>
          </w:r>
          <w:r w:rsidRPr="0044196C">
            <w:rPr>
              <w:noProof/>
              <w:color w:val="000000" w:themeColor="text1"/>
            </w:rPr>
            <w:tab/>
          </w:r>
          <w:r w:rsidR="0044196C" w:rsidRPr="0044196C">
            <w:rPr>
              <w:noProof/>
              <w:color w:val="000000" w:themeColor="text1"/>
            </w:rPr>
            <w:t>50</w:t>
          </w:r>
        </w:p>
        <w:p w:rsidR="00B12703" w:rsidRPr="0044196C" w:rsidRDefault="00B12703" w:rsidP="00CC2B3A">
          <w:pPr>
            <w:pStyle w:val="13"/>
            <w:rPr>
              <w:rFonts w:asciiTheme="minorHAnsi" w:hAnsiTheme="minorHAnsi"/>
              <w:b/>
              <w:noProof/>
              <w:color w:val="000000" w:themeColor="text1"/>
              <w:szCs w:val="24"/>
              <w:lang w:eastAsia="ja-JP"/>
            </w:rPr>
          </w:pPr>
          <w:r w:rsidRPr="0044196C">
            <w:rPr>
              <w:noProof/>
              <w:color w:val="000000" w:themeColor="text1"/>
            </w:rPr>
            <w:t>Список литературы</w:t>
          </w:r>
          <w:r w:rsidRPr="0044196C">
            <w:rPr>
              <w:noProof/>
              <w:color w:val="000000" w:themeColor="text1"/>
            </w:rPr>
            <w:tab/>
          </w:r>
          <w:r w:rsidR="007339C4" w:rsidRPr="0044196C">
            <w:rPr>
              <w:noProof/>
              <w:color w:val="000000" w:themeColor="text1"/>
            </w:rPr>
            <w:t>5</w:t>
          </w:r>
          <w:r w:rsidR="0044196C" w:rsidRPr="0044196C">
            <w:rPr>
              <w:noProof/>
              <w:color w:val="000000" w:themeColor="text1"/>
            </w:rPr>
            <w:t>1</w:t>
          </w:r>
        </w:p>
        <w:p w:rsidR="00C52390" w:rsidRPr="0044196C" w:rsidRDefault="009D7C63" w:rsidP="00B1732A">
          <w:pPr>
            <w:tabs>
              <w:tab w:val="left" w:pos="709"/>
              <w:tab w:val="right" w:leader="dot" w:pos="9356"/>
            </w:tabs>
            <w:ind w:left="709" w:right="566" w:hanging="567"/>
            <w:jc w:val="left"/>
            <w:rPr>
              <w:color w:val="000000" w:themeColor="text1"/>
            </w:rPr>
          </w:pPr>
          <w:r w:rsidRPr="0044196C">
            <w:rPr>
              <w:b/>
              <w:bCs/>
              <w:color w:val="000000" w:themeColor="text1"/>
            </w:rPr>
            <w:fldChar w:fldCharType="end"/>
          </w:r>
        </w:p>
      </w:sdtContent>
    </w:sdt>
    <w:p w:rsidR="00F928A6" w:rsidRPr="0044196C" w:rsidRDefault="00F928A6">
      <w:pPr>
        <w:spacing w:before="0" w:after="200"/>
        <w:ind w:firstLine="0"/>
        <w:jc w:val="left"/>
        <w:rPr>
          <w:rFonts w:ascii="Arial" w:eastAsia="SimSun" w:hAnsi="Arial" w:cs="Times New Roman"/>
          <w:b/>
          <w:caps/>
          <w:color w:val="000000" w:themeColor="text1"/>
          <w:szCs w:val="24"/>
          <w:lang w:eastAsia="zh-CN"/>
        </w:rPr>
      </w:pPr>
      <w:r w:rsidRPr="0044196C">
        <w:rPr>
          <w:color w:val="000000" w:themeColor="text1"/>
          <w:szCs w:val="24"/>
        </w:rPr>
        <w:br w:type="page"/>
      </w:r>
    </w:p>
    <w:p w:rsidR="004A6C0C" w:rsidRPr="0044196C" w:rsidRDefault="00F21A10" w:rsidP="00F21A10">
      <w:pPr>
        <w:pStyle w:val="10"/>
        <w:rPr>
          <w:color w:val="000000" w:themeColor="text1"/>
          <w:lang w:eastAsia="zh-CN"/>
        </w:rPr>
      </w:pPr>
      <w:bookmarkStart w:id="0" w:name="_Toc279732186"/>
      <w:bookmarkStart w:id="1" w:name="_Toc279831035"/>
      <w:r w:rsidRPr="0044196C">
        <w:rPr>
          <w:color w:val="000000" w:themeColor="text1"/>
          <w:lang w:eastAsia="zh-CN"/>
        </w:rPr>
        <w:lastRenderedPageBreak/>
        <w:t>Сокращения</w:t>
      </w:r>
      <w:bookmarkEnd w:id="0"/>
      <w:bookmarkEnd w:id="1"/>
    </w:p>
    <w:tbl>
      <w:tblPr>
        <w:tblW w:w="5174" w:type="pct"/>
        <w:tblLook w:val="04A0"/>
      </w:tblPr>
      <w:tblGrid>
        <w:gridCol w:w="1951"/>
        <w:gridCol w:w="67"/>
        <w:gridCol w:w="7553"/>
        <w:gridCol w:w="333"/>
      </w:tblGrid>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lang w:val="en-US"/>
              </w:rPr>
              <w:t>α</w:t>
            </w:r>
            <w:r w:rsidRPr="0044196C">
              <w:rPr>
                <w:color w:val="000000" w:themeColor="text1"/>
              </w:rPr>
              <w:t>,</w:t>
            </w:r>
            <w:r w:rsidRPr="0044196C">
              <w:rPr>
                <w:color w:val="000000" w:themeColor="text1"/>
                <w:lang w:val="en-US"/>
              </w:rPr>
              <w:t>β-</w:t>
            </w:r>
            <w:r w:rsidRPr="0044196C">
              <w:rPr>
                <w:color w:val="000000" w:themeColor="text1"/>
              </w:rPr>
              <w:t>АБ</w:t>
            </w:r>
          </w:p>
        </w:tc>
        <w:tc>
          <w:tcPr>
            <w:tcW w:w="3847" w:type="pct"/>
            <w:gridSpan w:val="2"/>
          </w:tcPr>
          <w:p w:rsidR="0006125A" w:rsidRPr="0044196C" w:rsidRDefault="0006125A" w:rsidP="00B1732A">
            <w:pPr>
              <w:jc w:val="left"/>
              <w:rPr>
                <w:color w:val="000000" w:themeColor="text1"/>
              </w:rPr>
            </w:pPr>
            <w:r w:rsidRPr="0044196C">
              <w:rPr>
                <w:color w:val="000000" w:themeColor="text1"/>
              </w:rPr>
              <w:t>альфа- и бета-адреноблокатор</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lang w:val="en-US"/>
              </w:rPr>
              <w:t>α</w:t>
            </w:r>
            <w:r w:rsidRPr="0044196C">
              <w:rPr>
                <w:color w:val="000000" w:themeColor="text1"/>
              </w:rPr>
              <w:t>-АБ</w:t>
            </w:r>
          </w:p>
        </w:tc>
        <w:tc>
          <w:tcPr>
            <w:tcW w:w="3847" w:type="pct"/>
            <w:gridSpan w:val="2"/>
          </w:tcPr>
          <w:p w:rsidR="0006125A" w:rsidRPr="0044196C" w:rsidRDefault="0006125A" w:rsidP="00B1732A">
            <w:pPr>
              <w:jc w:val="left"/>
              <w:rPr>
                <w:color w:val="000000" w:themeColor="text1"/>
              </w:rPr>
            </w:pPr>
            <w:r w:rsidRPr="0044196C">
              <w:rPr>
                <w:color w:val="000000" w:themeColor="text1"/>
              </w:rPr>
              <w:t>альфа-адреноблокатор</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lang w:val="en-US"/>
              </w:rPr>
              <w:t>β-</w:t>
            </w:r>
            <w:r w:rsidRPr="0044196C">
              <w:rPr>
                <w:color w:val="000000" w:themeColor="text1"/>
              </w:rPr>
              <w:t>АБ</w:t>
            </w:r>
          </w:p>
        </w:tc>
        <w:tc>
          <w:tcPr>
            <w:tcW w:w="3847" w:type="pct"/>
            <w:gridSpan w:val="2"/>
          </w:tcPr>
          <w:p w:rsidR="0006125A" w:rsidRPr="0044196C" w:rsidRDefault="0006125A" w:rsidP="00B1732A">
            <w:pPr>
              <w:jc w:val="left"/>
              <w:rPr>
                <w:color w:val="000000" w:themeColor="text1"/>
              </w:rPr>
            </w:pPr>
            <w:r w:rsidRPr="0044196C">
              <w:rPr>
                <w:color w:val="000000" w:themeColor="text1"/>
              </w:rPr>
              <w:t>бета-адреноблокатор</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АГ</w:t>
            </w:r>
          </w:p>
        </w:tc>
        <w:tc>
          <w:tcPr>
            <w:tcW w:w="3847" w:type="pct"/>
            <w:gridSpan w:val="2"/>
          </w:tcPr>
          <w:p w:rsidR="0006125A" w:rsidRPr="0044196C" w:rsidRDefault="0006125A" w:rsidP="00B1732A">
            <w:pPr>
              <w:jc w:val="left"/>
              <w:rPr>
                <w:color w:val="000000" w:themeColor="text1"/>
              </w:rPr>
            </w:pPr>
            <w:r w:rsidRPr="0044196C">
              <w:rPr>
                <w:color w:val="000000" w:themeColor="text1"/>
              </w:rPr>
              <w:t>артериальная гипертензия</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АД</w:t>
            </w:r>
          </w:p>
        </w:tc>
        <w:tc>
          <w:tcPr>
            <w:tcW w:w="3847" w:type="pct"/>
            <w:gridSpan w:val="2"/>
          </w:tcPr>
          <w:p w:rsidR="0006125A" w:rsidRPr="0044196C" w:rsidRDefault="0006125A" w:rsidP="00B1732A">
            <w:pPr>
              <w:jc w:val="left"/>
              <w:rPr>
                <w:color w:val="000000" w:themeColor="text1"/>
              </w:rPr>
            </w:pPr>
            <w:r w:rsidRPr="0044196C">
              <w:rPr>
                <w:color w:val="000000" w:themeColor="text1"/>
              </w:rPr>
              <w:t>артериальное давление</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АК</w:t>
            </w:r>
          </w:p>
        </w:tc>
        <w:tc>
          <w:tcPr>
            <w:tcW w:w="3847" w:type="pct"/>
            <w:gridSpan w:val="2"/>
          </w:tcPr>
          <w:p w:rsidR="0006125A" w:rsidRPr="0044196C" w:rsidRDefault="0006125A" w:rsidP="00B1732A">
            <w:pPr>
              <w:jc w:val="left"/>
              <w:rPr>
                <w:color w:val="000000" w:themeColor="text1"/>
              </w:rPr>
            </w:pPr>
            <w:r w:rsidRPr="0044196C">
              <w:rPr>
                <w:color w:val="000000" w:themeColor="text1"/>
              </w:rPr>
              <w:t>антагонист кальция (блокатор кальциевых каналов)</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АКд</w:t>
            </w:r>
          </w:p>
        </w:tc>
        <w:tc>
          <w:tcPr>
            <w:tcW w:w="3847" w:type="pct"/>
            <w:gridSpan w:val="2"/>
          </w:tcPr>
          <w:p w:rsidR="0006125A" w:rsidRPr="0044196C" w:rsidRDefault="0006125A" w:rsidP="00B1732A">
            <w:pPr>
              <w:jc w:val="left"/>
              <w:rPr>
                <w:color w:val="000000" w:themeColor="text1"/>
              </w:rPr>
            </w:pPr>
            <w:r w:rsidRPr="0044196C">
              <w:rPr>
                <w:color w:val="000000" w:themeColor="text1"/>
              </w:rPr>
              <w:t>антагонист кальция дигидропиридинового ряда</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АКнд</w:t>
            </w:r>
          </w:p>
        </w:tc>
        <w:tc>
          <w:tcPr>
            <w:tcW w:w="3847" w:type="pct"/>
            <w:gridSpan w:val="2"/>
          </w:tcPr>
          <w:p w:rsidR="0006125A" w:rsidRPr="0044196C" w:rsidRDefault="0006125A" w:rsidP="00B1732A">
            <w:pPr>
              <w:jc w:val="left"/>
              <w:rPr>
                <w:color w:val="000000" w:themeColor="text1"/>
              </w:rPr>
            </w:pPr>
            <w:r w:rsidRPr="0044196C">
              <w:rPr>
                <w:color w:val="000000" w:themeColor="text1"/>
              </w:rPr>
              <w:t>антагонист кальция недигидропиридинового ряда</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АУ</w:t>
            </w:r>
          </w:p>
        </w:tc>
        <w:tc>
          <w:tcPr>
            <w:tcW w:w="3847" w:type="pct"/>
            <w:gridSpan w:val="2"/>
          </w:tcPr>
          <w:p w:rsidR="0006125A" w:rsidRPr="0044196C" w:rsidRDefault="0006125A" w:rsidP="00B1732A">
            <w:pPr>
              <w:jc w:val="left"/>
              <w:rPr>
                <w:color w:val="000000" w:themeColor="text1"/>
              </w:rPr>
            </w:pPr>
            <w:r w:rsidRPr="0044196C">
              <w:rPr>
                <w:color w:val="000000" w:themeColor="text1"/>
              </w:rPr>
              <w:t>альбуминурия</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 xml:space="preserve">БРА </w:t>
            </w:r>
          </w:p>
        </w:tc>
        <w:tc>
          <w:tcPr>
            <w:tcW w:w="3847" w:type="pct"/>
            <w:gridSpan w:val="2"/>
          </w:tcPr>
          <w:p w:rsidR="0006125A" w:rsidRPr="0044196C" w:rsidRDefault="0006125A" w:rsidP="00B1732A">
            <w:pPr>
              <w:jc w:val="left"/>
              <w:rPr>
                <w:color w:val="000000" w:themeColor="text1"/>
              </w:rPr>
            </w:pPr>
            <w:r w:rsidRPr="0044196C">
              <w:rPr>
                <w:color w:val="000000" w:themeColor="text1"/>
              </w:rPr>
              <w:t>блокатор рецепторов ангиотензина</w:t>
            </w:r>
            <w:r w:rsidRPr="0044196C">
              <w:rPr>
                <w:color w:val="000000" w:themeColor="text1"/>
                <w:lang w:val="en-US"/>
              </w:rPr>
              <w:t>II</w:t>
            </w:r>
            <w:r w:rsidRPr="0044196C">
              <w:rPr>
                <w:color w:val="000000" w:themeColor="text1"/>
              </w:rPr>
              <w:t xml:space="preserve"> 1 типа</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ДАД</w:t>
            </w:r>
          </w:p>
        </w:tc>
        <w:tc>
          <w:tcPr>
            <w:tcW w:w="3847" w:type="pct"/>
            <w:gridSpan w:val="2"/>
          </w:tcPr>
          <w:p w:rsidR="0006125A" w:rsidRPr="0044196C" w:rsidRDefault="0006125A" w:rsidP="00B1732A">
            <w:pPr>
              <w:jc w:val="left"/>
              <w:rPr>
                <w:color w:val="000000" w:themeColor="text1"/>
              </w:rPr>
            </w:pPr>
            <w:r w:rsidRPr="0044196C">
              <w:rPr>
                <w:color w:val="000000" w:themeColor="text1"/>
              </w:rPr>
              <w:t>диастолическое артериальное давление</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 xml:space="preserve">ИАПФ </w:t>
            </w:r>
          </w:p>
        </w:tc>
        <w:tc>
          <w:tcPr>
            <w:tcW w:w="3847" w:type="pct"/>
            <w:gridSpan w:val="2"/>
          </w:tcPr>
          <w:p w:rsidR="0006125A" w:rsidRPr="0044196C" w:rsidRDefault="0006125A" w:rsidP="00B1732A">
            <w:pPr>
              <w:jc w:val="left"/>
              <w:rPr>
                <w:color w:val="000000" w:themeColor="text1"/>
              </w:rPr>
            </w:pPr>
            <w:r w:rsidRPr="0044196C">
              <w:rPr>
                <w:color w:val="000000" w:themeColor="text1"/>
              </w:rPr>
              <w:t>ингибитор ангиотензинпревращающего фермента</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ИМТ</w:t>
            </w:r>
          </w:p>
        </w:tc>
        <w:tc>
          <w:tcPr>
            <w:tcW w:w="3847" w:type="pct"/>
            <w:gridSpan w:val="2"/>
          </w:tcPr>
          <w:p w:rsidR="0006125A" w:rsidRPr="0044196C" w:rsidRDefault="0006125A" w:rsidP="00B1732A">
            <w:pPr>
              <w:jc w:val="left"/>
              <w:rPr>
                <w:color w:val="000000" w:themeColor="text1"/>
              </w:rPr>
            </w:pPr>
            <w:r w:rsidRPr="0044196C">
              <w:rPr>
                <w:color w:val="000000" w:themeColor="text1"/>
              </w:rPr>
              <w:t>индекс массы тела</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ИР</w:t>
            </w:r>
          </w:p>
        </w:tc>
        <w:tc>
          <w:tcPr>
            <w:tcW w:w="3847" w:type="pct"/>
            <w:gridSpan w:val="2"/>
          </w:tcPr>
          <w:p w:rsidR="0006125A" w:rsidRPr="0044196C" w:rsidRDefault="0006125A" w:rsidP="00B1732A">
            <w:pPr>
              <w:jc w:val="left"/>
              <w:rPr>
                <w:color w:val="000000" w:themeColor="text1"/>
              </w:rPr>
            </w:pPr>
            <w:r w:rsidRPr="0044196C">
              <w:rPr>
                <w:color w:val="000000" w:themeColor="text1"/>
              </w:rPr>
              <w:t>ингибитор ренина</w:t>
            </w:r>
          </w:p>
        </w:tc>
      </w:tr>
      <w:tr w:rsidR="0006125A" w:rsidRPr="0044196C" w:rsidTr="0001395E">
        <w:tc>
          <w:tcPr>
            <w:tcW w:w="1019" w:type="pct"/>
            <w:gridSpan w:val="2"/>
            <w:hideMark/>
          </w:tcPr>
          <w:p w:rsidR="0006125A" w:rsidRPr="0044196C" w:rsidRDefault="0006125A">
            <w:pPr>
              <w:rPr>
                <w:color w:val="000000" w:themeColor="text1"/>
              </w:rPr>
            </w:pPr>
            <w:r w:rsidRPr="0044196C">
              <w:rPr>
                <w:color w:val="000000" w:themeColor="text1"/>
              </w:rPr>
              <w:t>НПВП</w:t>
            </w:r>
          </w:p>
        </w:tc>
        <w:tc>
          <w:tcPr>
            <w:tcW w:w="3981" w:type="pct"/>
            <w:gridSpan w:val="2"/>
            <w:hideMark/>
          </w:tcPr>
          <w:p w:rsidR="0006125A" w:rsidRPr="0044196C" w:rsidRDefault="0006125A" w:rsidP="0001395E">
            <w:pPr>
              <w:ind w:firstLine="676"/>
              <w:jc w:val="left"/>
              <w:rPr>
                <w:color w:val="000000" w:themeColor="text1"/>
              </w:rPr>
            </w:pPr>
            <w:r w:rsidRPr="0044196C">
              <w:rPr>
                <w:color w:val="000000" w:themeColor="text1"/>
              </w:rPr>
              <w:t>нестероидные противовоспалительные препараты</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ОПП</w:t>
            </w:r>
          </w:p>
        </w:tc>
        <w:tc>
          <w:tcPr>
            <w:tcW w:w="3847" w:type="pct"/>
            <w:gridSpan w:val="2"/>
          </w:tcPr>
          <w:p w:rsidR="0006125A" w:rsidRPr="0044196C" w:rsidRDefault="0006125A" w:rsidP="00B1732A">
            <w:pPr>
              <w:jc w:val="left"/>
              <w:rPr>
                <w:color w:val="000000" w:themeColor="text1"/>
              </w:rPr>
            </w:pPr>
            <w:r w:rsidRPr="0044196C">
              <w:rPr>
                <w:color w:val="000000" w:themeColor="text1"/>
              </w:rPr>
              <w:t>острое почечное повреждение</w:t>
            </w:r>
          </w:p>
        </w:tc>
      </w:tr>
      <w:tr w:rsidR="00647B97" w:rsidRPr="0044196C" w:rsidTr="0001395E">
        <w:trPr>
          <w:gridAfter w:val="1"/>
          <w:wAfter w:w="168" w:type="pct"/>
        </w:trPr>
        <w:tc>
          <w:tcPr>
            <w:tcW w:w="985" w:type="pct"/>
          </w:tcPr>
          <w:p w:rsidR="00647B97" w:rsidRPr="0044196C" w:rsidRDefault="00647B97" w:rsidP="00B1732A">
            <w:pPr>
              <w:rPr>
                <w:color w:val="000000" w:themeColor="text1"/>
              </w:rPr>
            </w:pPr>
            <w:r w:rsidRPr="0044196C">
              <w:rPr>
                <w:color w:val="000000" w:themeColor="text1"/>
              </w:rPr>
              <w:t>ОТ</w:t>
            </w:r>
          </w:p>
        </w:tc>
        <w:tc>
          <w:tcPr>
            <w:tcW w:w="3847" w:type="pct"/>
            <w:gridSpan w:val="2"/>
          </w:tcPr>
          <w:p w:rsidR="00647B97" w:rsidRPr="0044196C" w:rsidRDefault="00647B97" w:rsidP="00B1732A">
            <w:pPr>
              <w:jc w:val="left"/>
              <w:rPr>
                <w:color w:val="000000" w:themeColor="text1"/>
              </w:rPr>
            </w:pPr>
            <w:r w:rsidRPr="0044196C">
              <w:rPr>
                <w:color w:val="000000" w:themeColor="text1"/>
              </w:rPr>
              <w:t>окружность талии</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ПУ</w:t>
            </w:r>
          </w:p>
        </w:tc>
        <w:tc>
          <w:tcPr>
            <w:tcW w:w="3847" w:type="pct"/>
            <w:gridSpan w:val="2"/>
          </w:tcPr>
          <w:p w:rsidR="0006125A" w:rsidRPr="0044196C" w:rsidRDefault="0006125A" w:rsidP="00B1732A">
            <w:pPr>
              <w:jc w:val="left"/>
              <w:rPr>
                <w:color w:val="000000" w:themeColor="text1"/>
              </w:rPr>
            </w:pPr>
            <w:r w:rsidRPr="0044196C">
              <w:rPr>
                <w:color w:val="000000" w:themeColor="text1"/>
              </w:rPr>
              <w:t>протеинурия</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 xml:space="preserve">РААС </w:t>
            </w:r>
          </w:p>
        </w:tc>
        <w:tc>
          <w:tcPr>
            <w:tcW w:w="3847" w:type="pct"/>
            <w:gridSpan w:val="2"/>
          </w:tcPr>
          <w:p w:rsidR="0006125A" w:rsidRPr="0044196C" w:rsidRDefault="0006125A" w:rsidP="00B1732A">
            <w:pPr>
              <w:jc w:val="left"/>
              <w:rPr>
                <w:color w:val="000000" w:themeColor="text1"/>
              </w:rPr>
            </w:pPr>
            <w:r w:rsidRPr="0044196C">
              <w:rPr>
                <w:color w:val="000000" w:themeColor="text1"/>
              </w:rPr>
              <w:t>ренин-ангиотензин-альдостероновая система</w:t>
            </w:r>
          </w:p>
        </w:tc>
      </w:tr>
      <w:tr w:rsidR="0006125A" w:rsidRPr="0044196C" w:rsidTr="0006125A">
        <w:trPr>
          <w:gridAfter w:val="1"/>
          <w:wAfter w:w="168" w:type="pct"/>
        </w:trPr>
        <w:tc>
          <w:tcPr>
            <w:tcW w:w="985" w:type="pct"/>
          </w:tcPr>
          <w:p w:rsidR="0006125A" w:rsidRPr="0044196C" w:rsidRDefault="0006125A">
            <w:pPr>
              <w:rPr>
                <w:color w:val="000000" w:themeColor="text1"/>
              </w:rPr>
            </w:pPr>
            <w:r w:rsidRPr="0044196C">
              <w:rPr>
                <w:color w:val="000000" w:themeColor="text1"/>
              </w:rPr>
              <w:t>РКИ</w:t>
            </w:r>
          </w:p>
        </w:tc>
        <w:tc>
          <w:tcPr>
            <w:tcW w:w="3847" w:type="pct"/>
            <w:gridSpan w:val="2"/>
          </w:tcPr>
          <w:p w:rsidR="0006125A" w:rsidRPr="0044196C" w:rsidRDefault="0006125A" w:rsidP="0006125A">
            <w:pPr>
              <w:jc w:val="left"/>
              <w:rPr>
                <w:color w:val="000000" w:themeColor="text1"/>
              </w:rPr>
            </w:pPr>
            <w:r w:rsidRPr="0044196C">
              <w:rPr>
                <w:color w:val="000000" w:themeColor="text1"/>
              </w:rPr>
              <w:t>рандомизированные клинические исследования</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САД</w:t>
            </w:r>
          </w:p>
        </w:tc>
        <w:tc>
          <w:tcPr>
            <w:tcW w:w="3847" w:type="pct"/>
            <w:gridSpan w:val="2"/>
          </w:tcPr>
          <w:p w:rsidR="0006125A" w:rsidRPr="0044196C" w:rsidRDefault="0006125A" w:rsidP="00B1732A">
            <w:pPr>
              <w:jc w:val="left"/>
              <w:rPr>
                <w:color w:val="000000" w:themeColor="text1"/>
              </w:rPr>
            </w:pPr>
            <w:r w:rsidRPr="0044196C">
              <w:rPr>
                <w:color w:val="000000" w:themeColor="text1"/>
              </w:rPr>
              <w:t>систолическое артериальное давление</w:t>
            </w:r>
          </w:p>
        </w:tc>
      </w:tr>
      <w:tr w:rsidR="00022D08" w:rsidRPr="0044196C" w:rsidTr="0001395E">
        <w:trPr>
          <w:gridAfter w:val="1"/>
          <w:wAfter w:w="168" w:type="pct"/>
        </w:trPr>
        <w:tc>
          <w:tcPr>
            <w:tcW w:w="985" w:type="pct"/>
          </w:tcPr>
          <w:p w:rsidR="00022D08" w:rsidRPr="0044196C" w:rsidRDefault="00022D08" w:rsidP="00B1732A">
            <w:pPr>
              <w:rPr>
                <w:color w:val="000000" w:themeColor="text1"/>
              </w:rPr>
            </w:pPr>
            <w:r w:rsidRPr="0044196C">
              <w:rPr>
                <w:color w:val="000000" w:themeColor="text1"/>
              </w:rPr>
              <w:t>СКАД</w:t>
            </w:r>
          </w:p>
        </w:tc>
        <w:tc>
          <w:tcPr>
            <w:tcW w:w="3847" w:type="pct"/>
            <w:gridSpan w:val="2"/>
          </w:tcPr>
          <w:p w:rsidR="00022D08" w:rsidRPr="0044196C" w:rsidRDefault="00022D08" w:rsidP="00B1732A">
            <w:pPr>
              <w:jc w:val="left"/>
              <w:rPr>
                <w:color w:val="000000" w:themeColor="text1"/>
              </w:rPr>
            </w:pPr>
            <w:r w:rsidRPr="0044196C">
              <w:rPr>
                <w:color w:val="000000" w:themeColor="text1"/>
              </w:rPr>
              <w:t>самостоятельный контроль артериального давления пациентом</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 xml:space="preserve">СКФ </w:t>
            </w:r>
          </w:p>
        </w:tc>
        <w:tc>
          <w:tcPr>
            <w:tcW w:w="3847" w:type="pct"/>
            <w:gridSpan w:val="2"/>
          </w:tcPr>
          <w:p w:rsidR="0006125A" w:rsidRPr="0044196C" w:rsidRDefault="0006125A" w:rsidP="00B1732A">
            <w:pPr>
              <w:jc w:val="left"/>
              <w:rPr>
                <w:color w:val="000000" w:themeColor="text1"/>
              </w:rPr>
            </w:pPr>
            <w:r w:rsidRPr="0044196C">
              <w:rPr>
                <w:color w:val="000000" w:themeColor="text1"/>
              </w:rPr>
              <w:t>скорость клубочковой фильтрации</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СМАД</w:t>
            </w:r>
          </w:p>
        </w:tc>
        <w:tc>
          <w:tcPr>
            <w:tcW w:w="3847" w:type="pct"/>
            <w:gridSpan w:val="2"/>
          </w:tcPr>
          <w:p w:rsidR="0006125A" w:rsidRPr="0044196C" w:rsidRDefault="0006125A" w:rsidP="00B1732A">
            <w:pPr>
              <w:ind w:left="743" w:firstLine="0"/>
              <w:jc w:val="left"/>
              <w:rPr>
                <w:color w:val="000000" w:themeColor="text1"/>
              </w:rPr>
            </w:pPr>
            <w:r w:rsidRPr="0044196C">
              <w:rPr>
                <w:color w:val="000000" w:themeColor="text1"/>
              </w:rPr>
              <w:t>суточное автоматическое мониторирование</w:t>
            </w:r>
            <w:r w:rsidRPr="0044196C">
              <w:rPr>
                <w:color w:val="000000" w:themeColor="text1"/>
              </w:rPr>
              <w:br/>
              <w:t>артериального давления</w:t>
            </w:r>
          </w:p>
        </w:tc>
      </w:tr>
      <w:tr w:rsidR="00022D08" w:rsidRPr="0044196C" w:rsidTr="0001395E">
        <w:trPr>
          <w:gridAfter w:val="1"/>
          <w:wAfter w:w="168" w:type="pct"/>
        </w:trPr>
        <w:tc>
          <w:tcPr>
            <w:tcW w:w="985" w:type="pct"/>
          </w:tcPr>
          <w:p w:rsidR="00022D08" w:rsidRPr="0044196C" w:rsidRDefault="00022D08" w:rsidP="00B1732A">
            <w:pPr>
              <w:rPr>
                <w:color w:val="000000" w:themeColor="text1"/>
              </w:rPr>
            </w:pPr>
            <w:r w:rsidRPr="0044196C">
              <w:rPr>
                <w:color w:val="000000" w:themeColor="text1"/>
              </w:rPr>
              <w:t>СНС</w:t>
            </w:r>
          </w:p>
        </w:tc>
        <w:tc>
          <w:tcPr>
            <w:tcW w:w="3847" w:type="pct"/>
            <w:gridSpan w:val="2"/>
          </w:tcPr>
          <w:p w:rsidR="00022D08" w:rsidRPr="0044196C" w:rsidRDefault="00022D08" w:rsidP="00B1732A">
            <w:pPr>
              <w:jc w:val="left"/>
              <w:rPr>
                <w:color w:val="000000" w:themeColor="text1"/>
              </w:rPr>
            </w:pPr>
            <w:r w:rsidRPr="0044196C">
              <w:rPr>
                <w:color w:val="000000" w:themeColor="text1"/>
              </w:rPr>
              <w:t>степень ночного снижения АД</w:t>
            </w:r>
          </w:p>
        </w:tc>
      </w:tr>
      <w:tr w:rsidR="00913322" w:rsidRPr="0044196C" w:rsidTr="0001395E">
        <w:trPr>
          <w:gridAfter w:val="1"/>
          <w:wAfter w:w="168" w:type="pct"/>
        </w:trPr>
        <w:tc>
          <w:tcPr>
            <w:tcW w:w="985" w:type="pct"/>
          </w:tcPr>
          <w:p w:rsidR="00913322" w:rsidRPr="0044196C" w:rsidRDefault="00913322" w:rsidP="00B1732A">
            <w:pPr>
              <w:rPr>
                <w:color w:val="000000" w:themeColor="text1"/>
              </w:rPr>
            </w:pPr>
            <w:r w:rsidRPr="0044196C">
              <w:rPr>
                <w:color w:val="000000" w:themeColor="text1"/>
              </w:rPr>
              <w:t>СПА</w:t>
            </w:r>
          </w:p>
        </w:tc>
        <w:tc>
          <w:tcPr>
            <w:tcW w:w="3847" w:type="pct"/>
            <w:gridSpan w:val="2"/>
          </w:tcPr>
          <w:p w:rsidR="00913322" w:rsidRPr="0044196C" w:rsidRDefault="00913322" w:rsidP="00B1732A">
            <w:pPr>
              <w:jc w:val="left"/>
              <w:rPr>
                <w:color w:val="000000" w:themeColor="text1"/>
              </w:rPr>
            </w:pPr>
            <w:r w:rsidRPr="0044196C">
              <w:rPr>
                <w:color w:val="000000" w:themeColor="text1"/>
              </w:rPr>
              <w:t>стеноз почечной артерии</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ССО</w:t>
            </w:r>
          </w:p>
        </w:tc>
        <w:tc>
          <w:tcPr>
            <w:tcW w:w="3847" w:type="pct"/>
            <w:gridSpan w:val="2"/>
          </w:tcPr>
          <w:p w:rsidR="0006125A" w:rsidRPr="0044196C" w:rsidRDefault="0006125A" w:rsidP="00B1732A">
            <w:pPr>
              <w:jc w:val="left"/>
              <w:rPr>
                <w:color w:val="000000" w:themeColor="text1"/>
              </w:rPr>
            </w:pPr>
            <w:r w:rsidRPr="0044196C">
              <w:rPr>
                <w:color w:val="000000" w:themeColor="text1"/>
              </w:rPr>
              <w:t>сердечно-сосудистые осложнения</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 xml:space="preserve">ТПН </w:t>
            </w:r>
          </w:p>
        </w:tc>
        <w:tc>
          <w:tcPr>
            <w:tcW w:w="3847" w:type="pct"/>
            <w:gridSpan w:val="2"/>
          </w:tcPr>
          <w:p w:rsidR="0006125A" w:rsidRPr="0044196C" w:rsidRDefault="0006125A" w:rsidP="00B1732A">
            <w:pPr>
              <w:jc w:val="left"/>
              <w:rPr>
                <w:color w:val="000000" w:themeColor="text1"/>
              </w:rPr>
            </w:pPr>
            <w:r w:rsidRPr="0044196C">
              <w:rPr>
                <w:color w:val="000000" w:themeColor="text1"/>
              </w:rPr>
              <w:t>терминальная почечная недостаточность</w:t>
            </w:r>
          </w:p>
        </w:tc>
      </w:tr>
      <w:tr w:rsidR="00CB6271" w:rsidRPr="0044196C" w:rsidTr="0001395E">
        <w:trPr>
          <w:gridAfter w:val="1"/>
          <w:wAfter w:w="168" w:type="pct"/>
        </w:trPr>
        <w:tc>
          <w:tcPr>
            <w:tcW w:w="985" w:type="pct"/>
          </w:tcPr>
          <w:p w:rsidR="00CB6271" w:rsidRPr="0044196C" w:rsidRDefault="00CB6271" w:rsidP="00B1732A">
            <w:pPr>
              <w:rPr>
                <w:color w:val="000000" w:themeColor="text1"/>
              </w:rPr>
            </w:pPr>
            <w:r w:rsidRPr="0044196C">
              <w:rPr>
                <w:rFonts w:cs="Times New Roman"/>
                <w:color w:val="000000" w:themeColor="text1"/>
              </w:rPr>
              <w:t>УЗДГ</w:t>
            </w:r>
          </w:p>
        </w:tc>
        <w:tc>
          <w:tcPr>
            <w:tcW w:w="3847" w:type="pct"/>
            <w:gridSpan w:val="2"/>
          </w:tcPr>
          <w:p w:rsidR="00CB6271" w:rsidRPr="0044196C" w:rsidRDefault="00CB6271" w:rsidP="00CB6271">
            <w:pPr>
              <w:jc w:val="left"/>
              <w:rPr>
                <w:color w:val="000000" w:themeColor="text1"/>
              </w:rPr>
            </w:pPr>
            <w:r w:rsidRPr="0044196C">
              <w:rPr>
                <w:rFonts w:cs="Times New Roman"/>
                <w:color w:val="000000" w:themeColor="text1"/>
              </w:rPr>
              <w:t>ультразвуковая допплерография</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 xml:space="preserve">ХБП </w:t>
            </w:r>
          </w:p>
        </w:tc>
        <w:tc>
          <w:tcPr>
            <w:tcW w:w="3847" w:type="pct"/>
            <w:gridSpan w:val="2"/>
          </w:tcPr>
          <w:p w:rsidR="0006125A" w:rsidRPr="0044196C" w:rsidRDefault="0006125A" w:rsidP="00B1732A">
            <w:pPr>
              <w:jc w:val="left"/>
              <w:rPr>
                <w:color w:val="000000" w:themeColor="text1"/>
              </w:rPr>
            </w:pPr>
            <w:r w:rsidRPr="0044196C">
              <w:rPr>
                <w:color w:val="000000" w:themeColor="text1"/>
              </w:rPr>
              <w:t>хроническая болезнь почек</w:t>
            </w:r>
          </w:p>
        </w:tc>
      </w:tr>
      <w:tr w:rsidR="0006125A" w:rsidRPr="0044196C" w:rsidTr="0001395E">
        <w:trPr>
          <w:gridAfter w:val="1"/>
          <w:wAfter w:w="168" w:type="pct"/>
        </w:trPr>
        <w:tc>
          <w:tcPr>
            <w:tcW w:w="985" w:type="pct"/>
          </w:tcPr>
          <w:p w:rsidR="0006125A" w:rsidRPr="0044196C" w:rsidRDefault="0006125A" w:rsidP="00B1732A">
            <w:pPr>
              <w:rPr>
                <w:color w:val="000000" w:themeColor="text1"/>
              </w:rPr>
            </w:pPr>
            <w:r w:rsidRPr="0044196C">
              <w:rPr>
                <w:color w:val="000000" w:themeColor="text1"/>
              </w:rPr>
              <w:t>ХГН</w:t>
            </w:r>
          </w:p>
        </w:tc>
        <w:tc>
          <w:tcPr>
            <w:tcW w:w="3847" w:type="pct"/>
            <w:gridSpan w:val="2"/>
          </w:tcPr>
          <w:p w:rsidR="0006125A" w:rsidRPr="0044196C" w:rsidRDefault="0006125A" w:rsidP="00B1732A">
            <w:pPr>
              <w:jc w:val="left"/>
              <w:rPr>
                <w:color w:val="000000" w:themeColor="text1"/>
              </w:rPr>
            </w:pPr>
            <w:r w:rsidRPr="0044196C">
              <w:rPr>
                <w:color w:val="000000" w:themeColor="text1"/>
              </w:rPr>
              <w:t>хронический гломерулонефрит</w:t>
            </w:r>
          </w:p>
        </w:tc>
      </w:tr>
    </w:tbl>
    <w:p w:rsidR="00EB7AAA" w:rsidRPr="0044196C" w:rsidRDefault="00EB7AAA" w:rsidP="004C5D96">
      <w:pPr>
        <w:ind w:firstLine="0"/>
        <w:rPr>
          <w:color w:val="000000" w:themeColor="text1"/>
          <w:lang w:eastAsia="zh-CN"/>
        </w:rPr>
      </w:pPr>
      <w:r w:rsidRPr="0044196C">
        <w:rPr>
          <w:color w:val="000000" w:themeColor="text1"/>
          <w:lang w:eastAsia="zh-CN"/>
        </w:rPr>
        <w:br w:type="page"/>
      </w:r>
    </w:p>
    <w:p w:rsidR="00426596" w:rsidRPr="0044196C" w:rsidRDefault="00426596" w:rsidP="00426596">
      <w:pPr>
        <w:pStyle w:val="10"/>
        <w:rPr>
          <w:color w:val="000000" w:themeColor="text1"/>
          <w:lang w:eastAsia="zh-CN"/>
        </w:rPr>
      </w:pPr>
      <w:bookmarkStart w:id="2" w:name="_Toc279732187"/>
      <w:bookmarkStart w:id="3" w:name="_Toc279831036"/>
      <w:r w:rsidRPr="0044196C">
        <w:rPr>
          <w:color w:val="000000" w:themeColor="text1"/>
          <w:lang w:eastAsia="zh-CN"/>
        </w:rPr>
        <w:lastRenderedPageBreak/>
        <w:t>Резюме рекомендаций</w:t>
      </w:r>
      <w:bookmarkEnd w:id="2"/>
      <w:bookmarkEnd w:id="3"/>
    </w:p>
    <w:p w:rsidR="00813CC7" w:rsidRPr="0044196C" w:rsidRDefault="00813CC7" w:rsidP="00CC2B3A">
      <w:pPr>
        <w:pStyle w:val="13"/>
        <w:jc w:val="center"/>
        <w:rPr>
          <w:b/>
          <w:color w:val="000000" w:themeColor="text1"/>
        </w:rPr>
      </w:pPr>
      <w:r w:rsidRPr="0044196C">
        <w:rPr>
          <w:b/>
          <w:color w:val="000000" w:themeColor="text1"/>
        </w:rPr>
        <w:t>Частота АГ при различных заболеваниях почек.  Клиническое и прогностическое значение  вторичной почечной АГ</w:t>
      </w:r>
    </w:p>
    <w:p w:rsidR="00813CC7" w:rsidRPr="0044196C" w:rsidRDefault="00813CC7" w:rsidP="00CC2B3A">
      <w:pPr>
        <w:pStyle w:val="13"/>
        <w:rPr>
          <w:color w:val="000000" w:themeColor="text1"/>
        </w:rPr>
      </w:pPr>
      <w:r w:rsidRPr="0044196C">
        <w:rPr>
          <w:color w:val="000000" w:themeColor="text1"/>
        </w:rPr>
        <w:t>4.1.</w:t>
      </w:r>
      <w:r w:rsidRPr="0044196C">
        <w:rPr>
          <w:color w:val="000000" w:themeColor="text1"/>
        </w:rPr>
        <w:tab/>
        <w:t>Трактовку вторичной почечной АГ следует проводить с учетом патогенетических особенностей данного заболевания почек, его стадии и всего комплекса его клинических проявлений. Наличие АГ, как правило, свидетельствует о повышенной активности и более тяжелом течении нефропатии (НГ)</w:t>
      </w:r>
    </w:p>
    <w:p w:rsidR="00813CC7" w:rsidRPr="0044196C" w:rsidRDefault="00813CC7" w:rsidP="00CC2B3A">
      <w:pPr>
        <w:pStyle w:val="13"/>
        <w:rPr>
          <w:color w:val="000000" w:themeColor="text1"/>
        </w:rPr>
      </w:pPr>
      <w:r w:rsidRPr="0044196C">
        <w:rPr>
          <w:color w:val="000000" w:themeColor="text1"/>
        </w:rPr>
        <w:t>4.2.</w:t>
      </w:r>
      <w:r w:rsidRPr="0044196C">
        <w:rPr>
          <w:color w:val="000000" w:themeColor="text1"/>
        </w:rPr>
        <w:tab/>
        <w:t xml:space="preserve">АГ при ХБП следует рассматривать как прогностически неблагоприятный фактор, повышающий риск развития ТПН и сердечно-сосудистых осложнений (1A) </w:t>
      </w:r>
    </w:p>
    <w:p w:rsidR="00813CC7" w:rsidRPr="0044196C" w:rsidRDefault="00813CC7" w:rsidP="0036324B">
      <w:pPr>
        <w:pStyle w:val="13"/>
        <w:jc w:val="center"/>
        <w:rPr>
          <w:b/>
          <w:color w:val="000000" w:themeColor="text1"/>
        </w:rPr>
      </w:pPr>
      <w:r w:rsidRPr="0044196C">
        <w:rPr>
          <w:b/>
          <w:color w:val="000000" w:themeColor="text1"/>
        </w:rPr>
        <w:t>Тактика обследования пациентов с почечной АГ</w:t>
      </w:r>
    </w:p>
    <w:p w:rsidR="00813CC7" w:rsidRPr="0044196C" w:rsidRDefault="00813CC7" w:rsidP="00CC2B3A">
      <w:pPr>
        <w:pStyle w:val="13"/>
        <w:rPr>
          <w:color w:val="000000" w:themeColor="text1"/>
        </w:rPr>
      </w:pPr>
      <w:r w:rsidRPr="0044196C">
        <w:rPr>
          <w:color w:val="000000" w:themeColor="text1"/>
        </w:rPr>
        <w:t>5.1.</w:t>
      </w:r>
      <w:r w:rsidRPr="0044196C">
        <w:rPr>
          <w:color w:val="000000" w:themeColor="text1"/>
        </w:rPr>
        <w:tab/>
        <w:t>Основу диагностики вторичной почечной АГ составляет измерение АД методу Н.С. Короткова в условиях относительного покоя врачом или другим медицинским работником</w:t>
      </w:r>
    </w:p>
    <w:p w:rsidR="00813CC7" w:rsidRPr="0044196C" w:rsidRDefault="00813CC7" w:rsidP="00CC2B3A">
      <w:pPr>
        <w:pStyle w:val="13"/>
        <w:rPr>
          <w:color w:val="000000" w:themeColor="text1"/>
        </w:rPr>
      </w:pPr>
      <w:r w:rsidRPr="0044196C">
        <w:rPr>
          <w:color w:val="000000" w:themeColor="text1"/>
        </w:rPr>
        <w:t>5.2.</w:t>
      </w:r>
      <w:r w:rsidRPr="0044196C">
        <w:rPr>
          <w:color w:val="000000" w:themeColor="text1"/>
        </w:rPr>
        <w:tab/>
        <w:t xml:space="preserve">Измерение АД является обязательным исследованием при каждом нефрологическом или терапевтическом врачебном осмотре пациента с ХБП (НГ) </w:t>
      </w:r>
    </w:p>
    <w:p w:rsidR="00813CC7" w:rsidRPr="0044196C" w:rsidRDefault="00813CC7" w:rsidP="00CC2B3A">
      <w:pPr>
        <w:pStyle w:val="13"/>
        <w:rPr>
          <w:color w:val="000000" w:themeColor="text1"/>
        </w:rPr>
      </w:pPr>
      <w:r w:rsidRPr="0044196C">
        <w:rPr>
          <w:color w:val="000000" w:themeColor="text1"/>
        </w:rPr>
        <w:t>5.3.</w:t>
      </w:r>
      <w:r w:rsidRPr="0044196C">
        <w:rPr>
          <w:color w:val="000000" w:themeColor="text1"/>
        </w:rPr>
        <w:tab/>
        <w:t xml:space="preserve">Автоматическое суточное мониторирование АД (СМАД), а также регулярный самостоятельный контроль АД пациентом (СКАД) существенно расширяют возможности диагностики АГ, помогают в оценке эффективности и безопасности  антигипертензивной терапии при ХБП и должны дополнять измерения АД врачом в медицинском учреждении.  (НГ) </w:t>
      </w:r>
    </w:p>
    <w:p w:rsidR="00813CC7" w:rsidRPr="0044196C" w:rsidRDefault="00813CC7" w:rsidP="00CC2B3A">
      <w:pPr>
        <w:pStyle w:val="13"/>
        <w:rPr>
          <w:color w:val="000000" w:themeColor="text1"/>
        </w:rPr>
      </w:pPr>
      <w:r w:rsidRPr="0044196C">
        <w:rPr>
          <w:color w:val="000000" w:themeColor="text1"/>
        </w:rPr>
        <w:t>5.4.</w:t>
      </w:r>
      <w:r w:rsidRPr="0044196C">
        <w:rPr>
          <w:color w:val="000000" w:themeColor="text1"/>
        </w:rPr>
        <w:tab/>
        <w:t xml:space="preserve">Сочетание признаков ХБП и АГ требует исключения заболевания почечной артерии, которое  может быть как первичной причиной  повышения АД и нарушения функции почек, так и развиваться на фоне уже существующей ХБП (диабетической нефропатии, гипертонической болезни с поражением почек и др.) (НГ) </w:t>
      </w:r>
    </w:p>
    <w:p w:rsidR="00813CC7" w:rsidRPr="0044196C" w:rsidRDefault="00813CC7" w:rsidP="00CC2B3A">
      <w:pPr>
        <w:pStyle w:val="13"/>
        <w:rPr>
          <w:color w:val="000000" w:themeColor="text1"/>
        </w:rPr>
      </w:pPr>
      <w:r w:rsidRPr="0044196C">
        <w:rPr>
          <w:color w:val="000000" w:themeColor="text1"/>
        </w:rPr>
        <w:t>5.5.</w:t>
      </w:r>
      <w:r w:rsidRPr="0044196C">
        <w:rPr>
          <w:color w:val="000000" w:themeColor="text1"/>
        </w:rPr>
        <w:tab/>
        <w:t xml:space="preserve">Обследование пациента с нефрогенной АГ включает комплекс физических, лабораторных и инструментальных методов, который определяется особенностями ХБП и задачами уточнения причин и факторов риска повышения АД, оценки состояния органов-мишеней АГ и риска сердечно-сосудистых осложнений (НГ) </w:t>
      </w:r>
    </w:p>
    <w:p w:rsidR="00813CC7" w:rsidRPr="0044196C" w:rsidRDefault="00813CC7" w:rsidP="00CC2B3A">
      <w:pPr>
        <w:pStyle w:val="13"/>
        <w:rPr>
          <w:color w:val="000000" w:themeColor="text1"/>
        </w:rPr>
      </w:pPr>
      <w:r w:rsidRPr="0044196C">
        <w:rPr>
          <w:color w:val="000000" w:themeColor="text1"/>
        </w:rPr>
        <w:t>5.6.</w:t>
      </w:r>
      <w:r w:rsidRPr="0044196C">
        <w:rPr>
          <w:color w:val="000000" w:themeColor="text1"/>
        </w:rPr>
        <w:tab/>
        <w:t xml:space="preserve">Наличие АГ, степень повышения АД и риск ССО отражаются в диагнозе пациента после указания нозологической формы ХБП, ее стадии (Таблица 4) и категории альбуминурии/протеинурии (Таблица 5). Стратификация риска ССО проводится с учетом значения СКФ и альбуминурии/протеинурии (Таблица 9) (НГ)  </w:t>
      </w:r>
    </w:p>
    <w:p w:rsidR="00813CC7" w:rsidRPr="0044196C" w:rsidRDefault="00813CC7" w:rsidP="00CC2B3A">
      <w:pPr>
        <w:pStyle w:val="13"/>
        <w:jc w:val="center"/>
        <w:rPr>
          <w:b/>
          <w:color w:val="000000" w:themeColor="text1"/>
        </w:rPr>
      </w:pPr>
      <w:r w:rsidRPr="0044196C">
        <w:rPr>
          <w:b/>
          <w:color w:val="000000" w:themeColor="text1"/>
        </w:rPr>
        <w:t>Целевое АД у больных с вторичной почечной АГ</w:t>
      </w:r>
    </w:p>
    <w:p w:rsidR="00813CC7" w:rsidRPr="0044196C" w:rsidRDefault="00813CC7" w:rsidP="00CC2B3A">
      <w:pPr>
        <w:pStyle w:val="13"/>
        <w:rPr>
          <w:color w:val="000000" w:themeColor="text1"/>
        </w:rPr>
      </w:pPr>
      <w:r w:rsidRPr="0044196C">
        <w:rPr>
          <w:color w:val="000000" w:themeColor="text1"/>
        </w:rPr>
        <w:t>6.1.</w:t>
      </w:r>
      <w:r w:rsidRPr="0044196C">
        <w:rPr>
          <w:color w:val="000000" w:themeColor="text1"/>
        </w:rPr>
        <w:tab/>
        <w:t>Определение целевого АД и тактика ведения пациентов с вторичной почечной АГ должны быть подчинены общим задачам кардио/нефропротекции и индивидуализирована с учетом возраста, нозологической формы ХБП, выраженности альбуминурии/протеинурии, функции почек, наличия сердечно-сосудистых заболеваний и метаболических нарушений (НГ)</w:t>
      </w:r>
    </w:p>
    <w:p w:rsidR="00813CC7" w:rsidRPr="0044196C" w:rsidRDefault="00813CC7" w:rsidP="00CC2B3A">
      <w:pPr>
        <w:pStyle w:val="13"/>
        <w:rPr>
          <w:color w:val="000000" w:themeColor="text1"/>
        </w:rPr>
      </w:pPr>
      <w:r w:rsidRPr="0044196C">
        <w:rPr>
          <w:color w:val="000000" w:themeColor="text1"/>
        </w:rPr>
        <w:t>6.2.</w:t>
      </w:r>
      <w:r w:rsidRPr="0044196C">
        <w:rPr>
          <w:color w:val="000000" w:themeColor="text1"/>
        </w:rPr>
        <w:tab/>
        <w:t xml:space="preserve">У больных ХБП без сахарного диабета с нормальной или незначительно повышенной альбуминурией (категория А1) рекомендуется начинать лечение препаратами, снижающими АД, при стойком повышении САД ≥ 140 или ДАД ≥ 90 мм рт.ст. и добиваться достижения уровня САД &lt; 140 и ДАД &lt; 90 мм рт.ст. (1В) </w:t>
      </w:r>
    </w:p>
    <w:p w:rsidR="00813CC7" w:rsidRPr="0044196C" w:rsidRDefault="00813CC7" w:rsidP="00CC2B3A">
      <w:pPr>
        <w:pStyle w:val="13"/>
        <w:rPr>
          <w:color w:val="000000" w:themeColor="text1"/>
        </w:rPr>
      </w:pPr>
      <w:r w:rsidRPr="0044196C">
        <w:rPr>
          <w:color w:val="000000" w:themeColor="text1"/>
        </w:rPr>
        <w:lastRenderedPageBreak/>
        <w:t>6.3.</w:t>
      </w:r>
      <w:r w:rsidRPr="0044196C">
        <w:rPr>
          <w:color w:val="000000" w:themeColor="text1"/>
        </w:rPr>
        <w:tab/>
        <w:t xml:space="preserve">У больных ХБП без сахарного диабета с высокой альбуминурией (категория А2) эксперты полагают целесообразным начинать лечение препаратами, снижающими АД, при стойком повышении САД ≥ 130 или ДАД ≥ 80 мм рт.ст. и добиваться достижения уровня САД &lt; 130 и ДАД &lt; 80 мм рт.ст. (2D)  </w:t>
      </w:r>
    </w:p>
    <w:p w:rsidR="00813CC7" w:rsidRPr="0044196C" w:rsidRDefault="00813CC7" w:rsidP="00CC2B3A">
      <w:pPr>
        <w:pStyle w:val="13"/>
        <w:rPr>
          <w:color w:val="000000" w:themeColor="text1"/>
        </w:rPr>
      </w:pPr>
      <w:r w:rsidRPr="0044196C">
        <w:rPr>
          <w:color w:val="000000" w:themeColor="text1"/>
        </w:rPr>
        <w:t>6.4.</w:t>
      </w:r>
      <w:r w:rsidRPr="0044196C">
        <w:rPr>
          <w:color w:val="000000" w:themeColor="text1"/>
        </w:rPr>
        <w:tab/>
        <w:t xml:space="preserve">У больных ХБП без сахарного диабета с очень высокой альбуминурией и/или протеинурией &gt; 0,5 г/сут (категория А3) эксперты полагают целесообразным начинать лечение препаратами, снижающими АД, при стойком повышении САД ≥ 130 или ДАД ≥ 80 мм рт.ст. и добиваться достижения уровня САД &lt; 130 и ДАД &lt; 80 мм рт.ст. (2С) </w:t>
      </w:r>
    </w:p>
    <w:p w:rsidR="00813CC7" w:rsidRPr="0044196C" w:rsidRDefault="00813CC7" w:rsidP="00CC2B3A">
      <w:pPr>
        <w:pStyle w:val="13"/>
        <w:rPr>
          <w:color w:val="000000" w:themeColor="text1"/>
        </w:rPr>
      </w:pPr>
      <w:r w:rsidRPr="0044196C">
        <w:rPr>
          <w:color w:val="000000" w:themeColor="text1"/>
        </w:rPr>
        <w:t>6.5.</w:t>
      </w:r>
      <w:r w:rsidRPr="0044196C">
        <w:rPr>
          <w:color w:val="000000" w:themeColor="text1"/>
        </w:rPr>
        <w:tab/>
        <w:t xml:space="preserve">У больных ХБП с сахарным диабетом с нормальной или незначительно повышенной альбуминурией (категория А1) рекомендуется начинать лечение препаратами, снижающими АД, при стойком повышении САД ≥ 140 или ДАД ≥ 80 мм рт.ст. и добиваться достижения уровня САД &lt; 140 и ДАД &lt; 80 мм рт.ст. (1В)  </w:t>
      </w:r>
    </w:p>
    <w:p w:rsidR="00813CC7" w:rsidRPr="0044196C" w:rsidRDefault="00813CC7" w:rsidP="00CC2B3A">
      <w:pPr>
        <w:pStyle w:val="13"/>
        <w:rPr>
          <w:color w:val="000000" w:themeColor="text1"/>
        </w:rPr>
      </w:pPr>
      <w:r w:rsidRPr="0044196C">
        <w:rPr>
          <w:color w:val="000000" w:themeColor="text1"/>
        </w:rPr>
        <w:t>6.6.</w:t>
      </w:r>
      <w:r w:rsidRPr="0044196C">
        <w:rPr>
          <w:color w:val="000000" w:themeColor="text1"/>
        </w:rPr>
        <w:tab/>
        <w:t xml:space="preserve">У больных ХБП с сахарным диабетом с высокой и очень высокой альбуминурией (категории А2 и A3) эксперты полагают целесообразным начинать лечение препаратами, снижающими АД, при стойком повышении САД ≥ 130 или ДАД ≥ 80 мм рт.ст. и  добиваться достижения уровня САД &lt; 130 и ДАД &lt; 80 мм рт.ст. (2D) </w:t>
      </w:r>
    </w:p>
    <w:p w:rsidR="00813CC7" w:rsidRPr="0044196C" w:rsidRDefault="00813CC7" w:rsidP="00CC2B3A">
      <w:pPr>
        <w:pStyle w:val="13"/>
        <w:rPr>
          <w:color w:val="000000" w:themeColor="text1"/>
        </w:rPr>
      </w:pPr>
      <w:r w:rsidRPr="0044196C">
        <w:rPr>
          <w:color w:val="000000" w:themeColor="text1"/>
        </w:rPr>
        <w:t>6.7.</w:t>
      </w:r>
      <w:r w:rsidRPr="0044196C">
        <w:rPr>
          <w:color w:val="000000" w:themeColor="text1"/>
        </w:rPr>
        <w:tab/>
        <w:t xml:space="preserve">Важнейшим условием эффективности и безопасности терапии, снижающей АД, у пациентов с ХБП является стабильность достигнутых результатов, исключение резких колебаний АД, эпизодов ортостатической и ночной гипотонии. Добиваться снижения систолического АД до уровня &lt; 120 мм рт.ст. не рекомендуется (НГ)  </w:t>
      </w:r>
    </w:p>
    <w:p w:rsidR="00813CC7" w:rsidRPr="0044196C" w:rsidRDefault="00813CC7" w:rsidP="00CC2B3A">
      <w:pPr>
        <w:pStyle w:val="13"/>
        <w:jc w:val="center"/>
        <w:rPr>
          <w:b/>
          <w:color w:val="000000" w:themeColor="text1"/>
        </w:rPr>
      </w:pPr>
      <w:r w:rsidRPr="0044196C">
        <w:rPr>
          <w:b/>
          <w:color w:val="000000" w:themeColor="text1"/>
        </w:rPr>
        <w:t>Образ жизни и диета больных с вторичной почечной АГ</w:t>
      </w:r>
    </w:p>
    <w:p w:rsidR="00813CC7" w:rsidRPr="0044196C" w:rsidRDefault="00813CC7" w:rsidP="00CC2B3A">
      <w:pPr>
        <w:pStyle w:val="13"/>
        <w:rPr>
          <w:color w:val="000000" w:themeColor="text1"/>
        </w:rPr>
      </w:pPr>
      <w:r w:rsidRPr="0044196C">
        <w:rPr>
          <w:color w:val="000000" w:themeColor="text1"/>
        </w:rPr>
        <w:t>7.1.</w:t>
      </w:r>
      <w:r w:rsidRPr="0044196C">
        <w:rPr>
          <w:color w:val="000000" w:themeColor="text1"/>
        </w:rPr>
        <w:tab/>
        <w:t xml:space="preserve">Диета и коррекция образа жизни являются важной составляющей лечения больных с вторичной почечной АГ. Хотя при ХБП одних этих методов, как правило, недостаточно для снижения АД до целевого уровня, они необходимы, так как существенно повышают ответ на медикаментозное лечение (НГ) </w:t>
      </w:r>
    </w:p>
    <w:p w:rsidR="00813CC7" w:rsidRPr="0044196C" w:rsidRDefault="00813CC7" w:rsidP="00CC2B3A">
      <w:pPr>
        <w:pStyle w:val="13"/>
        <w:rPr>
          <w:color w:val="000000" w:themeColor="text1"/>
        </w:rPr>
      </w:pPr>
      <w:r w:rsidRPr="0044196C">
        <w:rPr>
          <w:color w:val="000000" w:themeColor="text1"/>
        </w:rPr>
        <w:t>7.2.</w:t>
      </w:r>
      <w:r w:rsidRPr="0044196C">
        <w:rPr>
          <w:color w:val="000000" w:themeColor="text1"/>
        </w:rPr>
        <w:tab/>
        <w:t xml:space="preserve">Диета больным с вторичной почечной АГ подбирается с учетом особенностей и стадии ХБП. Она должна быть, в первую очередь, подчинена задачам нефропротекции, коррекции метаболических и электролитных нарушений, связанных с заболеванием почек (НГ) </w:t>
      </w:r>
    </w:p>
    <w:p w:rsidR="00813CC7" w:rsidRPr="0044196C" w:rsidRDefault="00813CC7" w:rsidP="00CC2B3A">
      <w:pPr>
        <w:pStyle w:val="13"/>
        <w:rPr>
          <w:color w:val="000000" w:themeColor="text1"/>
        </w:rPr>
      </w:pPr>
      <w:r w:rsidRPr="0044196C">
        <w:rPr>
          <w:color w:val="000000" w:themeColor="text1"/>
        </w:rPr>
        <w:t>7.3.</w:t>
      </w:r>
      <w:r w:rsidRPr="0044196C">
        <w:rPr>
          <w:color w:val="000000" w:themeColor="text1"/>
        </w:rPr>
        <w:tab/>
        <w:t xml:space="preserve">Всем больным с вторичной почечной АГ рекомендуется ограничение потребления соли – менее 2 г натрия (соответствует 5 г хлорида натрия), если нет противопоказаний (1С)  </w:t>
      </w:r>
    </w:p>
    <w:p w:rsidR="00813CC7" w:rsidRPr="0044196C" w:rsidRDefault="00813CC7" w:rsidP="00CC2B3A">
      <w:pPr>
        <w:pStyle w:val="13"/>
        <w:rPr>
          <w:color w:val="000000" w:themeColor="text1"/>
        </w:rPr>
      </w:pPr>
      <w:r w:rsidRPr="0044196C">
        <w:rPr>
          <w:color w:val="000000" w:themeColor="text1"/>
        </w:rPr>
        <w:t>7.4.</w:t>
      </w:r>
      <w:r w:rsidRPr="0044196C">
        <w:rPr>
          <w:color w:val="000000" w:themeColor="text1"/>
        </w:rPr>
        <w:tab/>
        <w:t xml:space="preserve">Всем больным с ХБП 3-5 (не получающим диализа) рекомендуется малобелковая диета (0,6-0,8 г/кг) с целью нефропротекции, а также для повышения эффективности антигипертензивных препаратов (1D) </w:t>
      </w:r>
    </w:p>
    <w:p w:rsidR="00813CC7" w:rsidRPr="0044196C" w:rsidRDefault="00813CC7" w:rsidP="00CC2B3A">
      <w:pPr>
        <w:pStyle w:val="13"/>
        <w:rPr>
          <w:color w:val="000000" w:themeColor="text1"/>
        </w:rPr>
      </w:pPr>
      <w:r w:rsidRPr="0044196C">
        <w:rPr>
          <w:color w:val="000000" w:themeColor="text1"/>
        </w:rPr>
        <w:t>7.5.</w:t>
      </w:r>
      <w:r w:rsidRPr="0044196C">
        <w:rPr>
          <w:color w:val="000000" w:themeColor="text1"/>
        </w:rPr>
        <w:tab/>
        <w:t xml:space="preserve">Всем больным с вторичной почечной АГ рекомендуется поддерживать индекс массы тела (ИМТ) в пределах 20-25 кг/м2 (1D) </w:t>
      </w:r>
    </w:p>
    <w:p w:rsidR="00813CC7" w:rsidRPr="0044196C" w:rsidRDefault="00813CC7" w:rsidP="00CC2B3A">
      <w:pPr>
        <w:pStyle w:val="13"/>
        <w:rPr>
          <w:color w:val="000000" w:themeColor="text1"/>
        </w:rPr>
      </w:pPr>
      <w:r w:rsidRPr="0044196C">
        <w:rPr>
          <w:color w:val="000000" w:themeColor="text1"/>
        </w:rPr>
        <w:t>7.6.</w:t>
      </w:r>
      <w:r w:rsidRPr="0044196C">
        <w:rPr>
          <w:color w:val="000000" w:themeColor="text1"/>
        </w:rPr>
        <w:tab/>
      </w:r>
      <w:r w:rsidR="00611B54" w:rsidRPr="0044196C">
        <w:rPr>
          <w:color w:val="000000" w:themeColor="text1"/>
        </w:rPr>
        <w:t xml:space="preserve">Всем больным с вторичной почечной АГ </w:t>
      </w:r>
      <w:r w:rsidR="00611B54" w:rsidRPr="0044196C">
        <w:rPr>
          <w:i/>
          <w:color w:val="000000" w:themeColor="text1"/>
        </w:rPr>
        <w:t>рекомендуется</w:t>
      </w:r>
      <w:r w:rsidR="00611B54" w:rsidRPr="0044196C">
        <w:rPr>
          <w:color w:val="000000" w:themeColor="text1"/>
        </w:rPr>
        <w:t xml:space="preserve"> индивидуальный подбор комплекса лечебной физкультуры с учетом состояния сердечно-сосудистой системы и переносимости. Физические упражнения должны быть равномерно распределены в течение недели, их общая продолжительность должна составлять  не менее 3 часов  в неделю (1</w:t>
      </w:r>
      <w:r w:rsidR="00611B54" w:rsidRPr="0044196C">
        <w:rPr>
          <w:color w:val="000000" w:themeColor="text1"/>
          <w:lang w:val="en-US"/>
        </w:rPr>
        <w:t>D</w:t>
      </w:r>
      <w:r w:rsidR="00611B54" w:rsidRPr="0044196C">
        <w:rPr>
          <w:color w:val="000000" w:themeColor="text1"/>
        </w:rPr>
        <w:t>).</w:t>
      </w:r>
    </w:p>
    <w:p w:rsidR="00813CC7" w:rsidRPr="0044196C" w:rsidRDefault="00813CC7" w:rsidP="00CC2B3A">
      <w:pPr>
        <w:pStyle w:val="13"/>
        <w:rPr>
          <w:color w:val="000000" w:themeColor="text1"/>
        </w:rPr>
      </w:pPr>
      <w:r w:rsidRPr="0044196C">
        <w:rPr>
          <w:color w:val="000000" w:themeColor="text1"/>
        </w:rPr>
        <w:lastRenderedPageBreak/>
        <w:t>7.7.</w:t>
      </w:r>
      <w:r w:rsidRPr="0044196C">
        <w:rPr>
          <w:color w:val="000000" w:themeColor="text1"/>
        </w:rPr>
        <w:tab/>
        <w:t xml:space="preserve">Всем больным с вторичной почечной АГ, подверженным курению, рекомендуется отказ от него с целью кардио- и нефропротекции (1С) </w:t>
      </w:r>
    </w:p>
    <w:p w:rsidR="00813CC7" w:rsidRPr="0044196C" w:rsidRDefault="00813CC7" w:rsidP="00CC2B3A">
      <w:pPr>
        <w:pStyle w:val="13"/>
        <w:rPr>
          <w:color w:val="000000" w:themeColor="text1"/>
        </w:rPr>
      </w:pPr>
      <w:r w:rsidRPr="0044196C">
        <w:rPr>
          <w:color w:val="000000" w:themeColor="text1"/>
        </w:rPr>
        <w:t>7.8.</w:t>
      </w:r>
      <w:r w:rsidRPr="0044196C">
        <w:rPr>
          <w:color w:val="000000" w:themeColor="text1"/>
        </w:rPr>
        <w:tab/>
        <w:t xml:space="preserve">Потребление алкоголя больным с вторичной почечной АГ рекомендуется ограничить – не более 20 г чистого этанола в сутки для мужчин и не более 10 г для женщин (1D) </w:t>
      </w:r>
    </w:p>
    <w:p w:rsidR="00813CC7" w:rsidRPr="0044196C" w:rsidRDefault="00813CC7" w:rsidP="00CC2B3A">
      <w:pPr>
        <w:pStyle w:val="13"/>
        <w:rPr>
          <w:color w:val="000000" w:themeColor="text1"/>
        </w:rPr>
      </w:pPr>
      <w:r w:rsidRPr="0044196C">
        <w:rPr>
          <w:color w:val="000000" w:themeColor="text1"/>
        </w:rPr>
        <w:t>7.9.</w:t>
      </w:r>
      <w:r w:rsidRPr="0044196C">
        <w:rPr>
          <w:color w:val="000000" w:themeColor="text1"/>
        </w:rPr>
        <w:tab/>
        <w:t xml:space="preserve">При обследовании больных с вторичной почечной АГ необходимо тщательно изучать фармакологический анамнез, выявлять случаи приема препаратов, повышающих АД и неблагоприятно влияющих на почки (анальгетики, нестероидные противовоспалительные средства, гормональные контрацептивы и др.), по возможности ограничивать или исключать их прием (НГ) </w:t>
      </w:r>
    </w:p>
    <w:p w:rsidR="00813CC7" w:rsidRPr="0044196C" w:rsidRDefault="00813CC7" w:rsidP="00CC2B3A">
      <w:pPr>
        <w:pStyle w:val="13"/>
        <w:jc w:val="center"/>
        <w:rPr>
          <w:b/>
          <w:color w:val="000000" w:themeColor="text1"/>
        </w:rPr>
      </w:pPr>
      <w:r w:rsidRPr="0044196C">
        <w:rPr>
          <w:b/>
          <w:color w:val="000000" w:themeColor="text1"/>
        </w:rPr>
        <w:t>Лекарственное лечение вторичной почечной АГ</w:t>
      </w:r>
    </w:p>
    <w:p w:rsidR="00813CC7" w:rsidRPr="0044196C" w:rsidRDefault="00813CC7" w:rsidP="00CC2B3A">
      <w:pPr>
        <w:pStyle w:val="13"/>
        <w:rPr>
          <w:color w:val="000000" w:themeColor="text1"/>
        </w:rPr>
      </w:pPr>
      <w:r w:rsidRPr="0044196C">
        <w:rPr>
          <w:color w:val="000000" w:themeColor="text1"/>
        </w:rPr>
        <w:t>8.1.</w:t>
      </w:r>
      <w:r w:rsidRPr="0044196C">
        <w:rPr>
          <w:color w:val="000000" w:themeColor="text1"/>
        </w:rPr>
        <w:tab/>
      </w:r>
      <w:r w:rsidR="00295DFB" w:rsidRPr="0044196C">
        <w:rPr>
          <w:color w:val="000000" w:themeColor="text1"/>
        </w:rPr>
        <w:t>Выбор препаратов для снижения АД при ХБП определяется целями нефро/кардиопротекции и должен проводиться с учетом данных клинических исследований об их влиянии на почечные и сердечно-сосудистые исходы, а также данных о безопасности их применения на данной стадии ХБП (НГ)</w:t>
      </w:r>
    </w:p>
    <w:p w:rsidR="006D2A10" w:rsidRPr="0044196C" w:rsidRDefault="006D2A10" w:rsidP="00CC2B3A">
      <w:pPr>
        <w:pStyle w:val="13"/>
        <w:rPr>
          <w:color w:val="000000" w:themeColor="text1"/>
        </w:rPr>
      </w:pPr>
      <w:r w:rsidRPr="0044196C">
        <w:rPr>
          <w:color w:val="000000" w:themeColor="text1"/>
        </w:rPr>
        <w:t>8.2.</w:t>
      </w:r>
      <w:r w:rsidRPr="0044196C">
        <w:rPr>
          <w:color w:val="000000" w:themeColor="text1"/>
        </w:rPr>
        <w:tab/>
        <w:t>У пациентов с ХБП без сахарного диабета с очень высокой альбуминурией и/или протеинурией &gt; 0,5 г/сут (категория А3) рекомендуется назначение ингибитора ангиотензинпревращающего фермента (ИАПФ) или блокатора рецепторов ангиотензина II 1 типа (БРА) (1B).</w:t>
      </w:r>
    </w:p>
    <w:p w:rsidR="006D2A10" w:rsidRPr="0044196C" w:rsidRDefault="006D2A10" w:rsidP="00CC2B3A">
      <w:pPr>
        <w:pStyle w:val="13"/>
        <w:rPr>
          <w:color w:val="000000" w:themeColor="text1"/>
        </w:rPr>
      </w:pPr>
      <w:r w:rsidRPr="0044196C">
        <w:rPr>
          <w:color w:val="000000" w:themeColor="text1"/>
        </w:rPr>
        <w:t>8.3.</w:t>
      </w:r>
      <w:r w:rsidRPr="0044196C">
        <w:rPr>
          <w:color w:val="000000" w:themeColor="text1"/>
        </w:rPr>
        <w:tab/>
        <w:t>У пациентов с ХБП без сахарного диабета с высокой альбуминурией (категория А2) эксперты полагают целесообразным назначение ингибитора ангиотензинпревращающего фермента (ИАПФ) или блокатора рецепторов ангиотензина II 1 типа (БРА) (2D).</w:t>
      </w:r>
    </w:p>
    <w:p w:rsidR="006D2A10" w:rsidRPr="0044196C" w:rsidRDefault="006D2A10" w:rsidP="00CC2B3A">
      <w:pPr>
        <w:pStyle w:val="13"/>
        <w:rPr>
          <w:color w:val="000000" w:themeColor="text1"/>
        </w:rPr>
      </w:pPr>
      <w:r w:rsidRPr="0044196C">
        <w:rPr>
          <w:color w:val="000000" w:themeColor="text1"/>
        </w:rPr>
        <w:t>8.4.</w:t>
      </w:r>
      <w:r w:rsidRPr="0044196C">
        <w:rPr>
          <w:color w:val="000000" w:themeColor="text1"/>
        </w:rPr>
        <w:tab/>
        <w:t>У пациентов с ХБП с сахарным диабетом с очень высокой альбуминурией и/или протеинурией &gt; 0,5 г/сут (категория А3) рекомендуется назначение ингибитора ангиотензинпревращающего фермента (ИАПФ) или блокатора рецепторов ангиотензина II 1 типа (БРА) (1B).</w:t>
      </w:r>
    </w:p>
    <w:p w:rsidR="006D2A10" w:rsidRPr="0044196C" w:rsidRDefault="006D2A10" w:rsidP="00CC2B3A">
      <w:pPr>
        <w:pStyle w:val="13"/>
        <w:rPr>
          <w:color w:val="000000" w:themeColor="text1"/>
        </w:rPr>
      </w:pPr>
      <w:r w:rsidRPr="0044196C">
        <w:rPr>
          <w:color w:val="000000" w:themeColor="text1"/>
        </w:rPr>
        <w:t>8.5.</w:t>
      </w:r>
      <w:r w:rsidRPr="0044196C">
        <w:rPr>
          <w:color w:val="000000" w:themeColor="text1"/>
        </w:rPr>
        <w:tab/>
        <w:t>У пациентов с ХБП с сахарным диабетом с высокой альбуминурией (категория А2) эксперты полагают целесообразным назначение ингибитора ангиотензин</w:t>
      </w:r>
      <w:r w:rsidR="00CC2B3A" w:rsidRPr="0044196C">
        <w:rPr>
          <w:color w:val="000000" w:themeColor="text1"/>
        </w:rPr>
        <w:t>-</w:t>
      </w:r>
      <w:r w:rsidRPr="0044196C">
        <w:rPr>
          <w:color w:val="000000" w:themeColor="text1"/>
        </w:rPr>
        <w:t>превращающего фермента (ИАПФ) или блокатора рецепторов ангиотензина II 1 типа (БРА) (2D).</w:t>
      </w:r>
    </w:p>
    <w:p w:rsidR="00611B54" w:rsidRPr="0044196C" w:rsidRDefault="00611B54" w:rsidP="00CC2B3A">
      <w:pPr>
        <w:pStyle w:val="13"/>
        <w:rPr>
          <w:color w:val="000000" w:themeColor="text1"/>
        </w:rPr>
      </w:pPr>
      <w:r w:rsidRPr="0044196C">
        <w:rPr>
          <w:color w:val="000000" w:themeColor="text1"/>
        </w:rPr>
        <w:t>8.6.</w:t>
      </w:r>
      <w:r w:rsidRPr="0044196C">
        <w:rPr>
          <w:color w:val="000000" w:themeColor="text1"/>
        </w:rPr>
        <w:tab/>
        <w:t>Назначение препаратов, подавляющих РАС, пациентам с ХБП С3а-5 связано с повышенным риском осложнений, который нарастает по мере снижения функции почек и у больных пожилого возраста. Лечение данными средствами должно проводиться на фоне тщательного мониторинга уровня креатинина и калия сыворотки. Пациентов необходимо информировать о необходимости во время данного лечения соблюдать адекватный водный режим, исключающий гиповолемию, ограничивать потребление продуктов, богатых калием,  о нежелательности его сочетания с препаратами, ухудшающими почечный кровоток (анальгетики и НПВП, включая селективные ингибиторы циклооксигеназы-2), противопоказании данных препаратов во время беременности.  При стойком (сохраняющемся в течение нескольких недель) повышении концентрации креатинина сыворотки более чем на 30% от исходного уровня препарат, подавляющий РАС, должен быть отменен и проведено обследование для исключения реноваскулярной болезни (см. рекомендацию 5.4) (НГ).</w:t>
      </w:r>
    </w:p>
    <w:p w:rsidR="006D2A10" w:rsidRPr="0044196C" w:rsidRDefault="006D2A10" w:rsidP="00CC2B3A">
      <w:pPr>
        <w:pStyle w:val="13"/>
        <w:rPr>
          <w:color w:val="000000" w:themeColor="text1"/>
        </w:rPr>
      </w:pPr>
      <w:r w:rsidRPr="0044196C">
        <w:rPr>
          <w:color w:val="000000" w:themeColor="text1"/>
        </w:rPr>
        <w:lastRenderedPageBreak/>
        <w:t>8.</w:t>
      </w:r>
      <w:r w:rsidR="00611B54" w:rsidRPr="0044196C">
        <w:rPr>
          <w:color w:val="000000" w:themeColor="text1"/>
        </w:rPr>
        <w:t>7</w:t>
      </w:r>
      <w:r w:rsidRPr="0044196C">
        <w:rPr>
          <w:color w:val="000000" w:themeColor="text1"/>
        </w:rPr>
        <w:t>.</w:t>
      </w:r>
      <w:r w:rsidRPr="0044196C">
        <w:rPr>
          <w:color w:val="000000" w:themeColor="text1"/>
        </w:rPr>
        <w:tab/>
        <w:t>У больных с нарушением функции почек меняется фармакокинетика и эффективность многих препаратов, снижающих АД, повышается риск их побочных действий, что необходимо учитывать при выборе лекарств и их доз (НГ).</w:t>
      </w:r>
    </w:p>
    <w:p w:rsidR="00813CC7" w:rsidRPr="0044196C" w:rsidRDefault="00813CC7" w:rsidP="00CC2B3A">
      <w:pPr>
        <w:pStyle w:val="13"/>
        <w:rPr>
          <w:color w:val="000000" w:themeColor="text1"/>
        </w:rPr>
      </w:pPr>
      <w:r w:rsidRPr="0044196C">
        <w:rPr>
          <w:color w:val="000000" w:themeColor="text1"/>
        </w:rPr>
        <w:t>8.</w:t>
      </w:r>
      <w:r w:rsidR="00611B54" w:rsidRPr="0044196C">
        <w:rPr>
          <w:color w:val="000000" w:themeColor="text1"/>
        </w:rPr>
        <w:t>8</w:t>
      </w:r>
      <w:r w:rsidRPr="0044196C">
        <w:rPr>
          <w:color w:val="000000" w:themeColor="text1"/>
        </w:rPr>
        <w:t>.</w:t>
      </w:r>
      <w:r w:rsidRPr="0044196C">
        <w:rPr>
          <w:color w:val="000000" w:themeColor="text1"/>
        </w:rPr>
        <w:tab/>
        <w:t xml:space="preserve">В большинстве случаев вторичной почечной АГ монотерапия оказывается недостаточной и следует применять комбинированное лечение препаратами, снижающими АД, из разных фармакологических групп. При САД ≥ 160 и/или ДАД  ≥ 100 лечение сразу начинают с двух препаратов. Обычно для достижения целевого уровня АД </w:t>
      </w:r>
      <w:r w:rsidR="00295DFB" w:rsidRPr="0044196C">
        <w:rPr>
          <w:color w:val="000000" w:themeColor="text1"/>
        </w:rPr>
        <w:t xml:space="preserve">при ХБП </w:t>
      </w:r>
      <w:r w:rsidRPr="0044196C">
        <w:rPr>
          <w:color w:val="000000" w:themeColor="text1"/>
        </w:rPr>
        <w:t xml:space="preserve">необходима комбинация из 3-4 препаратов.  (НГ) </w:t>
      </w:r>
    </w:p>
    <w:p w:rsidR="00CC2B3A" w:rsidRPr="0044196C" w:rsidRDefault="00DF58C3" w:rsidP="00FC68B0">
      <w:pPr>
        <w:rPr>
          <w:color w:val="000000" w:themeColor="text1"/>
          <w:lang w:eastAsia="zh-CN"/>
        </w:rPr>
      </w:pPr>
      <w:r w:rsidRPr="0044196C">
        <w:rPr>
          <w:color w:val="000000" w:themeColor="text1"/>
          <w:lang w:eastAsia="zh-CN"/>
        </w:rPr>
        <w:t>8.</w:t>
      </w:r>
      <w:r w:rsidR="00611B54" w:rsidRPr="0044196C">
        <w:rPr>
          <w:color w:val="000000" w:themeColor="text1"/>
          <w:lang w:eastAsia="zh-CN"/>
        </w:rPr>
        <w:t>9</w:t>
      </w:r>
      <w:r w:rsidRPr="0044196C">
        <w:rPr>
          <w:color w:val="000000" w:themeColor="text1"/>
          <w:lang w:eastAsia="zh-CN"/>
        </w:rPr>
        <w:t>.</w:t>
      </w:r>
      <w:r w:rsidRPr="0044196C">
        <w:rPr>
          <w:color w:val="000000" w:themeColor="text1"/>
          <w:lang w:eastAsia="zh-CN"/>
        </w:rPr>
        <w:tab/>
        <w:t>Антигипертензивная терапия у пациентов с нефрогенной АГ должна сочетаться с коррекцией нарушений пуринового, липидного, углеводного, фосфорно-кальциевого обмена, анемии в соответствии с общими принципами нефро/кардиопротективной стратегии  (НГ).</w:t>
      </w:r>
    </w:p>
    <w:p w:rsidR="00813CC7" w:rsidRPr="0044196C" w:rsidRDefault="00813CC7" w:rsidP="00CC2B3A">
      <w:pPr>
        <w:pStyle w:val="13"/>
        <w:jc w:val="center"/>
        <w:rPr>
          <w:b/>
          <w:color w:val="000000" w:themeColor="text1"/>
        </w:rPr>
      </w:pPr>
      <w:r w:rsidRPr="0044196C">
        <w:rPr>
          <w:b/>
          <w:color w:val="000000" w:themeColor="text1"/>
        </w:rPr>
        <w:t>Особенности лечения АГ у больных, получающих заместительную почечную терапию</w:t>
      </w:r>
    </w:p>
    <w:p w:rsidR="00813CC7" w:rsidRPr="0044196C" w:rsidRDefault="00813CC7" w:rsidP="00CC2B3A">
      <w:pPr>
        <w:pStyle w:val="13"/>
        <w:rPr>
          <w:color w:val="000000" w:themeColor="text1"/>
        </w:rPr>
      </w:pPr>
      <w:r w:rsidRPr="0044196C">
        <w:rPr>
          <w:color w:val="000000" w:themeColor="text1"/>
        </w:rPr>
        <w:t>9.1.</w:t>
      </w:r>
      <w:r w:rsidRPr="0044196C">
        <w:rPr>
          <w:color w:val="000000" w:themeColor="text1"/>
        </w:rPr>
        <w:tab/>
      </w:r>
      <w:r w:rsidR="00FC68B0" w:rsidRPr="0044196C">
        <w:rPr>
          <w:color w:val="000000" w:themeColor="text1"/>
        </w:rPr>
        <w:t xml:space="preserve"> </w:t>
      </w:r>
      <w:r w:rsidRPr="0044196C">
        <w:rPr>
          <w:color w:val="000000" w:themeColor="text1"/>
        </w:rPr>
        <w:t>У больных, получающих лечение гемодиализом, необходима максимальная индивидуализация тактики лечения АГ с обеспечением стабильности АД, исключением эпизодов интрадиализной и ортостатической гипотонии. В большинстве случаев при хорошей переносимости эксперты полагают целесообразным начинать лечение препаратами, снижающими АД, при стойком повышении САД ≥ 130 или ДАД ≥ 80 мм рт.ст. и  добиваться достижения уровня САД &lt; 130 и ДАД &lt; 80 мм рт.ст. (2D</w:t>
      </w:r>
      <w:r w:rsidR="004E1FB0" w:rsidRPr="0044196C">
        <w:rPr>
          <w:color w:val="000000" w:themeColor="text1"/>
        </w:rPr>
        <w:t>)</w:t>
      </w:r>
    </w:p>
    <w:p w:rsidR="00813CC7" w:rsidRPr="0044196C" w:rsidRDefault="00813CC7" w:rsidP="00CC2B3A">
      <w:pPr>
        <w:pStyle w:val="13"/>
        <w:rPr>
          <w:color w:val="000000" w:themeColor="text1"/>
        </w:rPr>
      </w:pPr>
      <w:r w:rsidRPr="0044196C">
        <w:rPr>
          <w:color w:val="000000" w:themeColor="text1"/>
        </w:rPr>
        <w:t>9.2.</w:t>
      </w:r>
      <w:r w:rsidRPr="0044196C">
        <w:rPr>
          <w:color w:val="000000" w:themeColor="text1"/>
        </w:rPr>
        <w:tab/>
        <w:t>У больных, получающих лечение перитонеальным диализом, эксперты полагают целесообразным начинать лечение препаратами, снижающими АД, при стойком повышении САД ≥ 130 или ДАД ≥ 80 мм рт.ст. и  добиваться достижения уровня САД &lt; 130 и ДАД &lt; 80 мм рт.ст. (2D)</w:t>
      </w:r>
    </w:p>
    <w:p w:rsidR="00813CC7" w:rsidRPr="0044196C" w:rsidRDefault="00813CC7" w:rsidP="00CC2B3A">
      <w:pPr>
        <w:pStyle w:val="13"/>
        <w:rPr>
          <w:color w:val="000000" w:themeColor="text1"/>
        </w:rPr>
      </w:pPr>
      <w:r w:rsidRPr="0044196C">
        <w:rPr>
          <w:color w:val="000000" w:themeColor="text1"/>
        </w:rPr>
        <w:t>9.3.</w:t>
      </w:r>
      <w:r w:rsidRPr="0044196C">
        <w:rPr>
          <w:color w:val="000000" w:themeColor="text1"/>
        </w:rPr>
        <w:tab/>
        <w:t>У больныхс трансплантированной почкой эксперты полагают целесообразным, независимо от уровня альбуминурии / протеинурии, начинать лечение препаратами, снижающими АД, при стойком повышении САД ≥ 130 или ДАД ≥ 80 мм рт.ст. и  добиваться достижения уровня САД &lt; 130 и ДАД &lt; 80 мм рт.ст. (2D)</w:t>
      </w:r>
    </w:p>
    <w:p w:rsidR="00813CC7" w:rsidRPr="0044196C" w:rsidRDefault="00813CC7" w:rsidP="00CC2B3A">
      <w:pPr>
        <w:pStyle w:val="13"/>
        <w:jc w:val="center"/>
        <w:rPr>
          <w:b/>
          <w:color w:val="000000" w:themeColor="text1"/>
        </w:rPr>
      </w:pPr>
      <w:r w:rsidRPr="0044196C">
        <w:rPr>
          <w:b/>
          <w:color w:val="000000" w:themeColor="text1"/>
        </w:rPr>
        <w:t>Особенности лечения АГ у детей</w:t>
      </w:r>
    </w:p>
    <w:p w:rsidR="00813CC7" w:rsidRPr="0044196C" w:rsidRDefault="00813CC7" w:rsidP="00CC2B3A">
      <w:pPr>
        <w:pStyle w:val="13"/>
        <w:rPr>
          <w:color w:val="000000" w:themeColor="text1"/>
        </w:rPr>
      </w:pPr>
      <w:r w:rsidRPr="0044196C">
        <w:rPr>
          <w:color w:val="000000" w:themeColor="text1"/>
        </w:rPr>
        <w:t>10.1.</w:t>
      </w:r>
      <w:r w:rsidRPr="0044196C">
        <w:rPr>
          <w:color w:val="000000" w:themeColor="text1"/>
        </w:rPr>
        <w:tab/>
        <w:t>У детей с ХБП рекомендуется начинать лечение препаратами, снижающими АД, при его уровне, стойко превышающим 90-ю перцетиль для соответствующего пола и возраста (Приложение 2) (1С)</w:t>
      </w:r>
    </w:p>
    <w:p w:rsidR="00813CC7" w:rsidRPr="0044196C" w:rsidRDefault="00813CC7" w:rsidP="00CC2B3A">
      <w:pPr>
        <w:pStyle w:val="13"/>
        <w:rPr>
          <w:color w:val="000000" w:themeColor="text1"/>
        </w:rPr>
      </w:pPr>
      <w:r w:rsidRPr="0044196C">
        <w:rPr>
          <w:color w:val="000000" w:themeColor="text1"/>
        </w:rPr>
        <w:t>10.2.</w:t>
      </w:r>
      <w:r w:rsidRPr="0044196C">
        <w:rPr>
          <w:color w:val="000000" w:themeColor="text1"/>
        </w:rPr>
        <w:tab/>
        <w:t>При лечении вторичной почечной АГ у детей эксперты полагают целесообразным добиваться снижения систолического и диастолического АД до уровня ниже 90-й перцентили для соответствующего пола и возраста (2D)</w:t>
      </w:r>
    </w:p>
    <w:p w:rsidR="00813CC7" w:rsidRPr="0044196C" w:rsidRDefault="00813CC7" w:rsidP="00CC2B3A">
      <w:pPr>
        <w:pStyle w:val="13"/>
        <w:rPr>
          <w:color w:val="000000" w:themeColor="text1"/>
        </w:rPr>
      </w:pPr>
      <w:r w:rsidRPr="0044196C">
        <w:rPr>
          <w:color w:val="000000" w:themeColor="text1"/>
        </w:rPr>
        <w:t>10.3.</w:t>
      </w:r>
      <w:r w:rsidRPr="0044196C">
        <w:rPr>
          <w:color w:val="000000" w:themeColor="text1"/>
        </w:rPr>
        <w:tab/>
        <w:t xml:space="preserve">При наличии показаний к снижению АД у детей с ХБП эксперты полагают целесообразным назначать ИАПФ или БРА независимо от уровня альбуминурии/протеинурии (2D). </w:t>
      </w:r>
    </w:p>
    <w:p w:rsidR="00813CC7" w:rsidRPr="0044196C" w:rsidRDefault="00813CC7" w:rsidP="00CC2B3A">
      <w:pPr>
        <w:pStyle w:val="13"/>
        <w:jc w:val="center"/>
        <w:rPr>
          <w:b/>
          <w:color w:val="000000" w:themeColor="text1"/>
        </w:rPr>
      </w:pPr>
      <w:r w:rsidRPr="0044196C">
        <w:rPr>
          <w:b/>
          <w:color w:val="000000" w:themeColor="text1"/>
        </w:rPr>
        <w:t>Особенности лечения АГ у больных пожилого и старческого возраста</w:t>
      </w:r>
    </w:p>
    <w:p w:rsidR="00813CC7" w:rsidRPr="0044196C" w:rsidRDefault="00813CC7" w:rsidP="00CC2B3A">
      <w:pPr>
        <w:pStyle w:val="13"/>
        <w:rPr>
          <w:color w:val="000000" w:themeColor="text1"/>
        </w:rPr>
      </w:pPr>
      <w:r w:rsidRPr="0044196C">
        <w:rPr>
          <w:color w:val="000000" w:themeColor="text1"/>
        </w:rPr>
        <w:t>11.1.</w:t>
      </w:r>
      <w:r w:rsidRPr="0044196C">
        <w:rPr>
          <w:color w:val="000000" w:themeColor="text1"/>
        </w:rPr>
        <w:tab/>
        <w:t xml:space="preserve">Тактика снижения АД у больных пожилого и старческого возраста должна быть максимально адаптирована к возрастным особенностям, состоянию сердечно-сосудистой системы, учитывать наличие сопутствующих заболеваний. Лечение следует </w:t>
      </w:r>
      <w:r w:rsidRPr="0044196C">
        <w:rPr>
          <w:color w:val="000000" w:themeColor="text1"/>
        </w:rPr>
        <w:lastRenderedPageBreak/>
        <w:t>начинать с небольших доз с постепенным их увеличением под тщательным контролем, учитывая очень высокий риск водно-электролитных нарушений, острого нарушения функции почек, ортостатической гипотонии, нежелательных лекарственных взаимодействий (НГ)</w:t>
      </w:r>
    </w:p>
    <w:p w:rsidR="009A550B" w:rsidRPr="0044196C" w:rsidRDefault="009A550B" w:rsidP="00426596">
      <w:pPr>
        <w:rPr>
          <w:color w:val="000000" w:themeColor="text1"/>
          <w:lang w:eastAsia="zh-CN"/>
        </w:rPr>
      </w:pPr>
    </w:p>
    <w:p w:rsidR="00426596" w:rsidRPr="0044196C" w:rsidRDefault="00426596" w:rsidP="00426596">
      <w:pPr>
        <w:rPr>
          <w:color w:val="000000" w:themeColor="text1"/>
          <w:lang w:eastAsia="zh-CN"/>
        </w:rPr>
      </w:pPr>
    </w:p>
    <w:p w:rsidR="00426596" w:rsidRPr="0044196C" w:rsidRDefault="00426596" w:rsidP="00426596">
      <w:pPr>
        <w:rPr>
          <w:color w:val="000000" w:themeColor="text1"/>
          <w:lang w:eastAsia="zh-CN"/>
        </w:rPr>
      </w:pPr>
      <w:r w:rsidRPr="0044196C">
        <w:rPr>
          <w:color w:val="000000" w:themeColor="text1"/>
          <w:lang w:eastAsia="zh-CN"/>
        </w:rPr>
        <w:br w:type="page"/>
      </w:r>
    </w:p>
    <w:p w:rsidR="00BB1F38" w:rsidRPr="0044196C" w:rsidRDefault="00BB1F38" w:rsidP="00622DC7">
      <w:pPr>
        <w:pStyle w:val="10"/>
        <w:numPr>
          <w:ilvl w:val="0"/>
          <w:numId w:val="3"/>
        </w:numPr>
        <w:rPr>
          <w:color w:val="000000" w:themeColor="text1"/>
        </w:rPr>
      </w:pPr>
      <w:bookmarkStart w:id="4" w:name="_Toc279732188"/>
      <w:bookmarkStart w:id="5" w:name="_Toc279831037"/>
      <w:r w:rsidRPr="0044196C">
        <w:rPr>
          <w:color w:val="000000" w:themeColor="text1"/>
        </w:rPr>
        <w:lastRenderedPageBreak/>
        <w:t>Введение</w:t>
      </w:r>
      <w:bookmarkEnd w:id="4"/>
      <w:bookmarkEnd w:id="5"/>
    </w:p>
    <w:p w:rsidR="00BB1F38" w:rsidRPr="0044196C" w:rsidRDefault="00BB1F38" w:rsidP="00BB1F38">
      <w:pPr>
        <w:rPr>
          <w:rFonts w:cs="Times New Roman"/>
          <w:color w:val="000000" w:themeColor="text1"/>
          <w:sz w:val="2"/>
        </w:rPr>
      </w:pPr>
    </w:p>
    <w:p w:rsidR="00BB1F38" w:rsidRPr="0044196C" w:rsidRDefault="00BB1F38" w:rsidP="00BB1F38">
      <w:pPr>
        <w:rPr>
          <w:rFonts w:cs="Times New Roman"/>
          <w:color w:val="000000" w:themeColor="text1"/>
        </w:rPr>
      </w:pPr>
      <w:r w:rsidRPr="0044196C">
        <w:rPr>
          <w:rFonts w:cs="Times New Roman"/>
          <w:color w:val="000000" w:themeColor="text1"/>
        </w:rPr>
        <w:t>Между артериальной гипертензией (АГ) и хронической болезнью почек (ХБП) существует тесная взаимосвязь: с одной стороны, развитие ХБП и снижение функции почек приводят к повышению артериального давления (АД), с другой стороны, наличие АГ связано со значительным ухудшением прогноза пациентов с ХБП из-за повышенного риска развития терминальной почечной недостаточности (ТПН) и сердечно-сосудистых осложнений (ССО).</w:t>
      </w:r>
    </w:p>
    <w:p w:rsidR="00954773" w:rsidRPr="0044196C" w:rsidRDefault="009E630E" w:rsidP="0013541A">
      <w:pPr>
        <w:rPr>
          <w:rFonts w:cs="Times New Roman"/>
          <w:color w:val="000000" w:themeColor="text1"/>
        </w:rPr>
      </w:pPr>
      <w:r w:rsidRPr="0044196C">
        <w:rPr>
          <w:rFonts w:cs="Times New Roman"/>
          <w:color w:val="000000" w:themeColor="text1"/>
        </w:rPr>
        <w:t xml:space="preserve">Частота АГ при ХБП в 2-3 раза выше, чем ее распространенность в общей популяции.АГ, хотя и не входит в число диагностических критериев ХБП, является важным ее проявлением. Нередко повышение АД </w:t>
      </w:r>
      <w:r w:rsidR="00DD68D2" w:rsidRPr="0044196C">
        <w:rPr>
          <w:rFonts w:cs="Times New Roman"/>
          <w:color w:val="000000" w:themeColor="text1"/>
        </w:rPr>
        <w:t>бывает</w:t>
      </w:r>
      <w:r w:rsidRPr="0044196C">
        <w:rPr>
          <w:rFonts w:cs="Times New Roman"/>
          <w:color w:val="000000" w:themeColor="text1"/>
        </w:rPr>
        <w:t xml:space="preserve"> первым симптомом, который заставляет пациента с ХБП обратиться к врачу и пройти нефрологическое обследование</w:t>
      </w:r>
      <w:r w:rsidR="00DD68D2" w:rsidRPr="0044196C">
        <w:rPr>
          <w:rFonts w:cs="Times New Roman"/>
          <w:color w:val="000000" w:themeColor="text1"/>
        </w:rPr>
        <w:t xml:space="preserve">. </w:t>
      </w:r>
      <w:r w:rsidR="00C77262" w:rsidRPr="0044196C">
        <w:rPr>
          <w:rFonts w:cs="Times New Roman"/>
          <w:color w:val="000000" w:themeColor="text1"/>
        </w:rPr>
        <w:t>Развитие АГ характерно для наиболее активных и тяжелых форм нефропатий; повышение АД или ухудшение ответа на антигипертензивную терапию может указывать на обострение заболевания почек или его прогрессирование.</w:t>
      </w:r>
      <w:r w:rsidR="0013541A" w:rsidRPr="0044196C">
        <w:rPr>
          <w:rFonts w:cs="Times New Roman"/>
          <w:color w:val="000000" w:themeColor="text1"/>
        </w:rPr>
        <w:t xml:space="preserve">В то же время уменьшение выраженности АГ свидетельствует об эффективности патогенетического лечения заболевания почек, послужившего ее причиной. </w:t>
      </w:r>
    </w:p>
    <w:p w:rsidR="00BB1F38" w:rsidRPr="0044196C" w:rsidRDefault="00C77262" w:rsidP="0013541A">
      <w:pPr>
        <w:rPr>
          <w:rFonts w:cs="Times New Roman"/>
          <w:color w:val="000000" w:themeColor="text1"/>
        </w:rPr>
      </w:pPr>
      <w:r w:rsidRPr="0044196C">
        <w:rPr>
          <w:rFonts w:cs="Times New Roman"/>
          <w:color w:val="000000" w:themeColor="text1"/>
        </w:rPr>
        <w:t xml:space="preserve">По данным популяционных исследований повышение АД, в первую очередь систолического, связано с увеличением риска ТПН, независимо от возраста, пола и расы. Адекватная коррекция АГ достоверно отдаляет наступление ТПН.Неблагоприятное влияние АГ на риск ССО </w:t>
      </w:r>
      <w:r w:rsidR="0013541A" w:rsidRPr="0044196C">
        <w:rPr>
          <w:rFonts w:cs="Times New Roman"/>
          <w:color w:val="000000" w:themeColor="text1"/>
        </w:rPr>
        <w:t xml:space="preserve">усиливается </w:t>
      </w:r>
      <w:r w:rsidRPr="0044196C">
        <w:rPr>
          <w:rFonts w:cs="Times New Roman"/>
          <w:color w:val="000000" w:themeColor="text1"/>
        </w:rPr>
        <w:t>при наличии ХБП, взаимодействуя с почечными факторами риска ССО (снижение функции почек, нарушения фосфорно-кальциевого обмена и вторичный гиперпаратиреоз, анемия, хроническое воспаление, гиперурикемия и др.).</w:t>
      </w:r>
      <w:r w:rsidR="00BB1F38" w:rsidRPr="0044196C">
        <w:rPr>
          <w:rFonts w:cs="Times New Roman"/>
          <w:color w:val="000000" w:themeColor="text1"/>
        </w:rPr>
        <w:t xml:space="preserve">Механизмы повышения АД при нефропатиях разной природы имеют свои особенности, определяемые их патогенезом. В то же время АГ может рассматриваться как универсальный фактор </w:t>
      </w:r>
      <w:r w:rsidR="00A50D97" w:rsidRPr="0044196C">
        <w:rPr>
          <w:rFonts w:cs="Times New Roman"/>
          <w:color w:val="000000" w:themeColor="text1"/>
        </w:rPr>
        <w:t xml:space="preserve">риска </w:t>
      </w:r>
      <w:r w:rsidR="00BB1F38" w:rsidRPr="0044196C">
        <w:rPr>
          <w:rFonts w:cs="Times New Roman"/>
          <w:color w:val="000000" w:themeColor="text1"/>
        </w:rPr>
        <w:t>прогрессирования ХБП, а ее адекватное лечение является важной составляющей нефро</w:t>
      </w:r>
      <w:r w:rsidR="0013541A" w:rsidRPr="0044196C">
        <w:rPr>
          <w:rFonts w:cs="Times New Roman"/>
          <w:color w:val="000000" w:themeColor="text1"/>
        </w:rPr>
        <w:t>/кардио</w:t>
      </w:r>
      <w:r w:rsidR="00BB1F38" w:rsidRPr="0044196C">
        <w:rPr>
          <w:rFonts w:cs="Times New Roman"/>
          <w:color w:val="000000" w:themeColor="text1"/>
        </w:rPr>
        <w:t xml:space="preserve">протективной стратегии. </w:t>
      </w:r>
    </w:p>
    <w:p w:rsidR="00BB1F38" w:rsidRPr="0044196C" w:rsidRDefault="00BB1F38" w:rsidP="0013541A">
      <w:pPr>
        <w:rPr>
          <w:rFonts w:cs="Times New Roman"/>
          <w:color w:val="000000" w:themeColor="text1"/>
        </w:rPr>
      </w:pPr>
      <w:r w:rsidRPr="0044196C">
        <w:rPr>
          <w:rFonts w:cs="Times New Roman"/>
          <w:color w:val="000000" w:themeColor="text1"/>
        </w:rPr>
        <w:t xml:space="preserve">Принципы оценки повышения АД и его коррекции, разработанные для эссенциальной АГ, не могут быть механически перенесены на пациентов с вторичной почечной АГ, которая имеет ряд особенностей. Наличие ХБП – </w:t>
      </w:r>
      <w:r w:rsidR="00A50D97" w:rsidRPr="0044196C">
        <w:rPr>
          <w:rFonts w:cs="Times New Roman"/>
          <w:color w:val="000000" w:themeColor="text1"/>
        </w:rPr>
        <w:t xml:space="preserve">повышенной альбуминурии / </w:t>
      </w:r>
      <w:r w:rsidRPr="0044196C">
        <w:rPr>
          <w:rFonts w:cs="Times New Roman"/>
          <w:color w:val="000000" w:themeColor="text1"/>
        </w:rPr>
        <w:t xml:space="preserve">протеинурии инарушения функции почек – меняет подходы к </w:t>
      </w:r>
      <w:r w:rsidR="00EC556A" w:rsidRPr="0044196C">
        <w:rPr>
          <w:rFonts w:cs="Times New Roman"/>
          <w:color w:val="000000" w:themeColor="text1"/>
        </w:rPr>
        <w:t xml:space="preserve">стратификации риска сердечно-сосудистых осложнений, </w:t>
      </w:r>
      <w:r w:rsidRPr="0044196C">
        <w:rPr>
          <w:rFonts w:cs="Times New Roman"/>
          <w:color w:val="000000" w:themeColor="text1"/>
        </w:rPr>
        <w:t>определению целевого АД, выбору лекарственных препаратов и требует существенного пересмотра всей тактики антигипертензивной терапии. Вследствие этого проблема диагностики и лечения вторичной почечной АГ требует рассмотрения в рамках отдельных рекомендаций.</w:t>
      </w:r>
    </w:p>
    <w:p w:rsidR="00954773" w:rsidRPr="0044196C" w:rsidRDefault="00954773" w:rsidP="00CE45FE">
      <w:pPr>
        <w:rPr>
          <w:rFonts w:cs="Times New Roman"/>
          <w:color w:val="000000" w:themeColor="text1"/>
        </w:rPr>
      </w:pPr>
      <w:r w:rsidRPr="0044196C">
        <w:rPr>
          <w:rFonts w:cs="Times New Roman"/>
          <w:color w:val="000000" w:themeColor="text1"/>
        </w:rPr>
        <w:t xml:space="preserve">По современным представлениям, определять тактику коррекции АГ и оценивать ее эффективность следует в русле </w:t>
      </w:r>
      <w:r w:rsidRPr="0044196C">
        <w:rPr>
          <w:rFonts w:cs="Times New Roman"/>
          <w:b/>
          <w:color w:val="000000" w:themeColor="text1"/>
        </w:rPr>
        <w:t>двуединой кардио/нефропротективной стратегии</w:t>
      </w:r>
      <w:r w:rsidRPr="0044196C">
        <w:rPr>
          <w:rFonts w:cs="Times New Roman"/>
          <w:color w:val="000000" w:themeColor="text1"/>
        </w:rPr>
        <w:t>, направленной на снижение частоты ССО, представляющих основную причину гибели пациентов с ХБП, и на снижение риска развития ТПН. К сожалению, в исследованиях, проводившихся в прошлые годы, не предусматривалось комбинированной оценки почечных и сердечно-сосудистых исходов. Имеющиеся на сегодняшний день рандомизированные клинические исследования</w:t>
      </w:r>
      <w:r w:rsidR="00DD1D19" w:rsidRPr="0044196C">
        <w:rPr>
          <w:rFonts w:cs="Times New Roman"/>
          <w:color w:val="000000" w:themeColor="text1"/>
        </w:rPr>
        <w:t xml:space="preserve"> (РКИ)</w:t>
      </w:r>
      <w:r w:rsidRPr="0044196C">
        <w:rPr>
          <w:rFonts w:cs="Times New Roman"/>
          <w:color w:val="000000" w:themeColor="text1"/>
        </w:rPr>
        <w:t xml:space="preserve">, в основном, посвящены оценке эффективности отдельных препаратов в группах больных, сформированных в соответствии с определенными критериям отбора. Число исследований по определению целевых значений АД при ХБП, изучению комбинированной терапии почечной АГ, </w:t>
      </w:r>
      <w:r w:rsidRPr="0044196C">
        <w:rPr>
          <w:rFonts w:cs="Times New Roman"/>
          <w:color w:val="000000" w:themeColor="text1"/>
        </w:rPr>
        <w:lastRenderedPageBreak/>
        <w:t xml:space="preserve">невелико, а их результаты противоречивы, в связи с чем рекомендации, посвященные этим важнейшим вопросам, не обладают большой доказательностью и силой и постоянно пересматриваются. Для совершенствования тактики коррекции АГ при ХБП необходимы длительные обсервационные исследования, ценную информацию могут дать регистры ХБП. </w:t>
      </w:r>
    </w:p>
    <w:tbl>
      <w:tblPr>
        <w:tblW w:w="0" w:type="auto"/>
        <w:shd w:val="clear" w:color="auto" w:fill="365F91" w:themeFill="accent1" w:themeFillShade="BF"/>
        <w:tblLook w:val="04A0"/>
      </w:tblPr>
      <w:tblGrid>
        <w:gridCol w:w="9571"/>
      </w:tblGrid>
      <w:tr w:rsidR="00BB1F38" w:rsidRPr="0044196C" w:rsidTr="006A0438">
        <w:tc>
          <w:tcPr>
            <w:tcW w:w="9571" w:type="dxa"/>
            <w:shd w:val="clear" w:color="auto" w:fill="365F91" w:themeFill="accent1" w:themeFillShade="BF"/>
          </w:tcPr>
          <w:p w:rsidR="00BB1F38" w:rsidRPr="0044196C" w:rsidRDefault="00BB1F38" w:rsidP="00B1732A">
            <w:pPr>
              <w:pStyle w:val="af6"/>
              <w:rPr>
                <w:color w:val="000000" w:themeColor="text1"/>
              </w:rPr>
            </w:pPr>
            <w:r w:rsidRPr="0044196C">
              <w:rPr>
                <w:color w:val="000000" w:themeColor="text1"/>
              </w:rPr>
              <w:t>Особенности вторичной почечной АГ и ее лечения</w:t>
            </w:r>
          </w:p>
        </w:tc>
      </w:tr>
      <w:tr w:rsidR="00BB1F38" w:rsidRPr="0044196C" w:rsidTr="006A0438">
        <w:tc>
          <w:tcPr>
            <w:tcW w:w="9571" w:type="dxa"/>
            <w:shd w:val="clear" w:color="auto" w:fill="DBE5F1" w:themeFill="accent1" w:themeFillTint="33"/>
          </w:tcPr>
          <w:p w:rsidR="00BB1F38" w:rsidRPr="0044196C" w:rsidRDefault="00BB1F38" w:rsidP="00EF6C3F">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Развитие и тяжесть АГ тесно связаны с активностью и стадией первичного заболевания почек</w:t>
            </w:r>
            <w:r w:rsidR="00EF6C3F" w:rsidRPr="0044196C">
              <w:rPr>
                <w:rFonts w:asciiTheme="minorHAnsi" w:hAnsiTheme="minorHAnsi"/>
                <w:color w:val="000000" w:themeColor="text1"/>
              </w:rPr>
              <w:t>.</w:t>
            </w:r>
          </w:p>
        </w:tc>
      </w:tr>
      <w:tr w:rsidR="00BB1F38" w:rsidRPr="0044196C" w:rsidTr="006A0438">
        <w:tc>
          <w:tcPr>
            <w:tcW w:w="9571" w:type="dxa"/>
            <w:shd w:val="clear" w:color="auto" w:fill="DBE5F1" w:themeFill="accent1" w:themeFillTint="33"/>
          </w:tcPr>
          <w:p w:rsidR="00BB1F38" w:rsidRPr="0044196C" w:rsidRDefault="00BB1F38" w:rsidP="00A50D97">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Возможн</w:t>
            </w:r>
            <w:r w:rsidR="00A50D97" w:rsidRPr="0044196C">
              <w:rPr>
                <w:rFonts w:asciiTheme="minorHAnsi" w:hAnsiTheme="minorHAnsi"/>
                <w:color w:val="000000" w:themeColor="text1"/>
              </w:rPr>
              <w:t>а</w:t>
            </w:r>
            <w:r w:rsidRPr="0044196C">
              <w:rPr>
                <w:rFonts w:asciiTheme="minorHAnsi" w:hAnsiTheme="minorHAnsi"/>
                <w:color w:val="000000" w:themeColor="text1"/>
              </w:rPr>
              <w:t xml:space="preserve"> нормализаци</w:t>
            </w:r>
            <w:r w:rsidR="00A50D97" w:rsidRPr="0044196C">
              <w:rPr>
                <w:rFonts w:asciiTheme="minorHAnsi" w:hAnsiTheme="minorHAnsi"/>
                <w:color w:val="000000" w:themeColor="text1"/>
              </w:rPr>
              <w:t>я</w:t>
            </w:r>
            <w:r w:rsidRPr="0044196C">
              <w:rPr>
                <w:rFonts w:asciiTheme="minorHAnsi" w:hAnsiTheme="minorHAnsi"/>
                <w:color w:val="000000" w:themeColor="text1"/>
              </w:rPr>
              <w:t xml:space="preserve"> АД за счет успешного патогенетического лечения первичного заболевания почек. В то же время некоторые препараты, применяемые для лечения заболеваний почек, сами могут способствовать повышению АД (кортикостероиды, циклоспорин А</w:t>
            </w:r>
            <w:r w:rsidR="00C41A0A" w:rsidRPr="0044196C">
              <w:rPr>
                <w:rFonts w:asciiTheme="minorHAnsi" w:hAnsiTheme="minorHAnsi"/>
                <w:color w:val="000000" w:themeColor="text1"/>
              </w:rPr>
              <w:t>, препараты, стимулирующие эритропоэз</w:t>
            </w:r>
            <w:r w:rsidRPr="0044196C">
              <w:rPr>
                <w:rFonts w:asciiTheme="minorHAnsi" w:hAnsiTheme="minorHAnsi"/>
                <w:color w:val="000000" w:themeColor="text1"/>
              </w:rPr>
              <w:t>)</w:t>
            </w:r>
            <w:r w:rsidR="00EF6C3F" w:rsidRPr="0044196C">
              <w:rPr>
                <w:rFonts w:asciiTheme="minorHAnsi" w:hAnsiTheme="minorHAnsi"/>
                <w:color w:val="000000" w:themeColor="text1"/>
              </w:rPr>
              <w:t>.</w:t>
            </w:r>
          </w:p>
        </w:tc>
      </w:tr>
      <w:tr w:rsidR="00BB1F38" w:rsidRPr="0044196C" w:rsidTr="006A0438">
        <w:tc>
          <w:tcPr>
            <w:tcW w:w="9571" w:type="dxa"/>
            <w:shd w:val="clear" w:color="auto" w:fill="DBE5F1" w:themeFill="accent1" w:themeFillTint="33"/>
          </w:tcPr>
          <w:p w:rsidR="00BB1F38" w:rsidRPr="0044196C" w:rsidRDefault="00BA0D7B" w:rsidP="00CC2B3A">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ХБП является самостоятельной</w:t>
            </w:r>
            <w:r w:rsidR="008526E4" w:rsidRPr="0044196C">
              <w:rPr>
                <w:rFonts w:asciiTheme="minorHAnsi" w:hAnsiTheme="minorHAnsi"/>
                <w:color w:val="000000" w:themeColor="text1"/>
              </w:rPr>
              <w:t xml:space="preserve"> </w:t>
            </w:r>
            <w:r w:rsidRPr="0044196C">
              <w:rPr>
                <w:rFonts w:asciiTheme="minorHAnsi" w:hAnsiTheme="minorHAnsi"/>
                <w:color w:val="000000" w:themeColor="text1"/>
              </w:rPr>
              <w:t>причиной</w:t>
            </w:r>
            <w:r w:rsidR="00BB1F38" w:rsidRPr="0044196C">
              <w:rPr>
                <w:rFonts w:asciiTheme="minorHAnsi" w:hAnsiTheme="minorHAnsi"/>
                <w:color w:val="000000" w:themeColor="text1"/>
              </w:rPr>
              <w:t xml:space="preserve"> эндотелиальной дисфункции, ремоделирования миокарда и артерий, нарушений обмена (белкового и пуринового, липидного, углеводного, фосфорно-кальциевого, водно-электролитного), неблагоприятно влияющих на АД и риск ССО</w:t>
            </w:r>
            <w:r w:rsidR="00EF6C3F" w:rsidRPr="0044196C">
              <w:rPr>
                <w:rFonts w:asciiTheme="minorHAnsi" w:hAnsiTheme="minorHAnsi"/>
                <w:color w:val="000000" w:themeColor="text1"/>
              </w:rPr>
              <w:t>.</w:t>
            </w:r>
          </w:p>
        </w:tc>
      </w:tr>
      <w:tr w:rsidR="00BB1F38" w:rsidRPr="0044196C" w:rsidTr="006A0438">
        <w:tc>
          <w:tcPr>
            <w:tcW w:w="9571" w:type="dxa"/>
            <w:shd w:val="clear" w:color="auto" w:fill="DBE5F1" w:themeFill="accent1" w:themeFillTint="33"/>
          </w:tcPr>
          <w:p w:rsidR="00BB1F38" w:rsidRPr="0044196C" w:rsidRDefault="00BB1F38" w:rsidP="00EF6C3F">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Тактика лечения вторичной почечной АГ является неотъемлемой составляющей кардио/нефропротективной стратегии, которая определяется характером и особенностями заболевания почек</w:t>
            </w:r>
            <w:r w:rsidR="00EF6C3F" w:rsidRPr="0044196C">
              <w:rPr>
                <w:rFonts w:asciiTheme="minorHAnsi" w:hAnsiTheme="minorHAnsi"/>
                <w:color w:val="000000" w:themeColor="text1"/>
              </w:rPr>
              <w:t>.</w:t>
            </w:r>
          </w:p>
        </w:tc>
      </w:tr>
      <w:tr w:rsidR="00BB1F38" w:rsidRPr="0044196C" w:rsidTr="006A0438">
        <w:tc>
          <w:tcPr>
            <w:tcW w:w="9571" w:type="dxa"/>
            <w:shd w:val="clear" w:color="auto" w:fill="DBE5F1" w:themeFill="accent1" w:themeFillTint="33"/>
          </w:tcPr>
          <w:p w:rsidR="00BB1F38" w:rsidRPr="0044196C" w:rsidRDefault="00BB1F38" w:rsidP="007D3F39">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 xml:space="preserve">У пациентов с выраженной протеинурией и/или снижением функции почек отмечается более раннее и более выраженное поражение органов-мишеней, что влияет на выбор антигипертензивных препаратов, </w:t>
            </w:r>
            <w:r w:rsidR="007D3F39" w:rsidRPr="0044196C">
              <w:rPr>
                <w:rFonts w:asciiTheme="minorHAnsi" w:hAnsiTheme="minorHAnsi"/>
                <w:color w:val="000000" w:themeColor="text1"/>
              </w:rPr>
              <w:t>определяя предпочтение средств</w:t>
            </w:r>
            <w:r w:rsidRPr="0044196C">
              <w:rPr>
                <w:rFonts w:asciiTheme="minorHAnsi" w:hAnsiTheme="minorHAnsi"/>
                <w:color w:val="000000" w:themeColor="text1"/>
              </w:rPr>
              <w:t xml:space="preserve"> с нефро-, кардио-  и вазопротективным действием</w:t>
            </w:r>
            <w:r w:rsidR="00EF6C3F" w:rsidRPr="0044196C">
              <w:rPr>
                <w:rFonts w:asciiTheme="minorHAnsi" w:hAnsiTheme="minorHAnsi"/>
                <w:color w:val="000000" w:themeColor="text1"/>
              </w:rPr>
              <w:t>.</w:t>
            </w:r>
          </w:p>
        </w:tc>
      </w:tr>
      <w:tr w:rsidR="00BB1F38" w:rsidRPr="0044196C" w:rsidTr="006A0438">
        <w:tc>
          <w:tcPr>
            <w:tcW w:w="9571" w:type="dxa"/>
            <w:shd w:val="clear" w:color="auto" w:fill="DBE5F1" w:themeFill="accent1" w:themeFillTint="33"/>
          </w:tcPr>
          <w:p w:rsidR="00BB1F38" w:rsidRPr="0044196C" w:rsidRDefault="00BB1F38" w:rsidP="00EF6C3F">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 xml:space="preserve">При вторичной почечной АГ по сравнению с эссенциальной АГ без поражения почек труднее добиться снижения АД, чаще наблюдается резистентность к лечению </w:t>
            </w:r>
          </w:p>
        </w:tc>
      </w:tr>
      <w:tr w:rsidR="00BB1F38" w:rsidRPr="0044196C" w:rsidTr="006A0438">
        <w:tc>
          <w:tcPr>
            <w:tcW w:w="9571" w:type="dxa"/>
            <w:shd w:val="clear" w:color="auto" w:fill="DBE5F1" w:themeFill="accent1" w:themeFillTint="33"/>
          </w:tcPr>
          <w:p w:rsidR="00BB1F38" w:rsidRPr="0044196C" w:rsidRDefault="00BB1F38" w:rsidP="00EF6C3F">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При снижении функции почек возрастает риск нежелательных явлений при назначении ингибиторов АПФ (ИАПФ), блокаторов рецепторов ангиотензина</w:t>
            </w:r>
            <w:r w:rsidRPr="0044196C">
              <w:rPr>
                <w:rFonts w:asciiTheme="minorHAnsi" w:hAnsiTheme="minorHAnsi"/>
                <w:color w:val="000000" w:themeColor="text1"/>
                <w:lang w:val="en-US"/>
              </w:rPr>
              <w:t>II</w:t>
            </w:r>
            <w:r w:rsidRPr="0044196C">
              <w:rPr>
                <w:rFonts w:asciiTheme="minorHAnsi" w:hAnsiTheme="minorHAnsi"/>
                <w:color w:val="000000" w:themeColor="text1"/>
              </w:rPr>
              <w:t xml:space="preserve"> 1 типа (БРА), </w:t>
            </w:r>
            <w:r w:rsidR="00CD1CAC" w:rsidRPr="0044196C">
              <w:rPr>
                <w:rFonts w:asciiTheme="minorHAnsi" w:hAnsiTheme="minorHAnsi"/>
                <w:color w:val="000000" w:themeColor="text1"/>
              </w:rPr>
              <w:t>ингибиторов ренина (ИР)</w:t>
            </w:r>
            <w:r w:rsidR="00BA0D7B" w:rsidRPr="0044196C">
              <w:rPr>
                <w:rFonts w:asciiTheme="minorHAnsi" w:hAnsiTheme="minorHAnsi"/>
                <w:color w:val="000000" w:themeColor="text1"/>
              </w:rPr>
              <w:t>,</w:t>
            </w:r>
            <w:r w:rsidR="00B971C6" w:rsidRPr="0044196C">
              <w:rPr>
                <w:rFonts w:asciiTheme="minorHAnsi" w:hAnsiTheme="minorHAnsi"/>
                <w:color w:val="000000" w:themeColor="text1"/>
              </w:rPr>
              <w:t xml:space="preserve"> </w:t>
            </w:r>
            <w:r w:rsidRPr="0044196C">
              <w:rPr>
                <w:rFonts w:asciiTheme="minorHAnsi" w:hAnsiTheme="minorHAnsi"/>
                <w:color w:val="000000" w:themeColor="text1"/>
              </w:rPr>
              <w:t>тиазидных мочегонных. Изменяется фармакокинетика гидрофильных антигипертензивных препаратов, возникает опасность их передозировки</w:t>
            </w:r>
            <w:r w:rsidR="00151156" w:rsidRPr="0044196C">
              <w:rPr>
                <w:rFonts w:asciiTheme="minorHAnsi" w:hAnsiTheme="minorHAnsi"/>
                <w:color w:val="000000" w:themeColor="text1"/>
              </w:rPr>
              <w:t>.</w:t>
            </w:r>
          </w:p>
        </w:tc>
      </w:tr>
    </w:tbl>
    <w:p w:rsidR="00BB1F38" w:rsidRPr="0044196C" w:rsidRDefault="00BB1F38" w:rsidP="00CE45FE">
      <w:pPr>
        <w:rPr>
          <w:rFonts w:cs="Times New Roman"/>
          <w:color w:val="000000" w:themeColor="text1"/>
        </w:rPr>
      </w:pPr>
      <w:r w:rsidRPr="0044196C">
        <w:rPr>
          <w:rFonts w:cs="Times New Roman"/>
          <w:color w:val="000000" w:themeColor="text1"/>
        </w:rPr>
        <w:t xml:space="preserve">Данные рекомендации являются продолжением серии клинических рекомендаций </w:t>
      </w:r>
      <w:r w:rsidRPr="0044196C">
        <w:rPr>
          <w:rFonts w:cs="Times New Roman"/>
          <w:b/>
          <w:color w:val="000000" w:themeColor="text1"/>
        </w:rPr>
        <w:t>Научного общества нефрологов России</w:t>
      </w:r>
      <w:r w:rsidRPr="0044196C">
        <w:rPr>
          <w:rFonts w:cs="Times New Roman"/>
          <w:color w:val="000000" w:themeColor="text1"/>
        </w:rPr>
        <w:t xml:space="preserve"> (НОНР) и используют подходы к коррекции вторичной почечной АГ, сформулированные в международных и зарубежных национальных рекомендациях</w:t>
      </w:r>
      <w:r w:rsidR="009D7C63" w:rsidRPr="0044196C">
        <w:rPr>
          <w:rFonts w:cs="Times New Roman"/>
          <w:color w:val="000000" w:themeColor="text1"/>
        </w:rPr>
        <w:fldChar w:fldCharType="begin" w:fldLock="1"/>
      </w:r>
      <w:r w:rsidR="00EA3B99" w:rsidRPr="0044196C">
        <w:rPr>
          <w:rFonts w:cs="Times New Roman"/>
          <w:color w:val="000000" w:themeColor="text1"/>
        </w:rPr>
        <w:instrText>ADDIN CSL_CITATION { "citationItems" : [ { "id" : "ITEM-1", "itemData" : { "author" : [ { "dropping-particle" : "", "family" : "\u041d\u0430\u0446\u0438\u043e\u043d\u0430\u043b\u044c\u043d\u044b\u0435 \u0440\u0435\u043a\u043e\u043c\u0435\u043d\u0434\u0430\u0446\u0438\u0438", "given" : "", "non-dropping-particle" : "", "parse-names" : false, "suffix" : "" } ], "container-title" : "\u041d\u0435\u0444\u0440\u043e\u043b\u043e\u0433\u0438\u044f", "id" : "ITEM-1", "issue" : "1", "issued" : { "date-parts" : [ [ "2012" ] ] }, "page" : "15-89", "title" : "\u0425\u0440\u043e\u043d\u0438\u0447\u0435\u0441\u043a\u0430\u044f \u0431\u043e\u043b\u0435\u0437\u043d\u044c \u043f\u043e\u0447\u0435\u043a: \u043e\u0441\u043d\u043e\u0432\u043d\u044b\u0435 \u043f\u0440\u0438\u043d\u0446\u0438\u043f\u044b \u0441\u043a\u0440\u0438\u043d\u0438\u043d\u0433\u0430, \u0434\u0438\u0430\u0433\u043d\u043e\u0441\u0442\u0438\u043a\u0438, \u043f\u0440\u043e\u0444\u0438\u043b\u0430\u043a\u0442\u0438\u043a\u0438 \u0438 \u043f\u043e\u0434\u0445\u043e\u0434\u044b \u043a \u043b\u0435\u0447\u0435\u043d\u0438\u044e. \u043f\u043e\u0434 \u0440\u0435\u0434. \u0410.\u0412. \u0421\u043c\u0438\u0440\u043d\u043e\u0432\u0430", "type" : "article-journal", "volume" : "16" }, "uris" : [ "http://www.mendeley.com/documents/?uuid=6f3f8b87-741f-475c-9822-6c7a31e6f14e" ] }, { "id" : "ITEM-2", "itemData" : { "author" : [ { "dropping-particle" : "", "family" : "\u041d\u0430\u0446\u0438\u043e\u043d\u0430\u043b\u044c\u043d\u044b\u0435 \u0440\u0435\u043a\u043e\u043c\u0435\u043d\u0434\u0430\u0446\u0438\u0438", "given" : "", "non-dropping-particle" : "", "parse-names" : false, "suffix" : "" } ], "container-title" : "\u041a\u043b\u0438\u043d\u0438\u0447\u0435\u0441\u043a\u0430\u044f \u043d\u0435\u0444\u0440\u043e\u043b\u043e\u0433\u0438\u044f", "id" : "ITEM-2", "issue" : "2", "issued" : { "date-parts" : [ [ "2014" ] ] }, "page" : "4-29", "title" : "\u0421\u0435\u0440\u0434\u0435\u0447\u043d\u043e-\u0441\u043e\u0441\u0443\u0434\u0438\u0441\u0442\u044b\u0439 \u0440\u0438\u0441\u043a \u0438 \u0445\u0440\u043e\u043d\u0438\u0447\u0435\u0441\u043a\u0430\u044f \u0431\u043e\u043b\u0435\u0437\u043d\u044c \u043f\u043e\u0447\u0435\u043a: \u0441\u0442\u0440\u0430\u0442\u0435\u0433\u0438\u0438 \u043a\u0430\u0440\u0434\u0438\u043e\u043d\u0435\u0444\u0440\u043e\u043f\u0440\u043e\u0442\u0435\u043a\u0446\u0438\u0438. \u043f\u043e\u0434 \u0440\u0435\u0434. \u0412.\u0421. \u041c\u043e\u0438\u0441\u0435\u0435\u0432\u0430 \u0438 \u041d.\u0410.\u041c\u0443\u0445\u0438\u043d\u0430", "type" : "article-journal" }, "uris" : [ "http://www.mendeley.com/documents/?uuid=abc5b621-a90d-4650-83a6-1c06abc90498" ] }, { "id" : "ITEM-3", "itemData" : { "author" : [ { "dropping-particle" : "", "family" : "\u041f\u043e\u0434 \u0440\u0435\u0434. \u0421.\u0410. \u0411\u043e\u0439\u0446\u043e\u0432\u0430 \u0438 \u0410.\u0413. \u0427\u0443\u0447\u0430\u043b\u0438\u043d\u0430", "given" : "", "non-dropping-particle" : "", "parse-names" : false, "suffix" : "" } ], "id" : "ITEM-3", "issued" : { "date-parts" : [ [ "2014" ] ] }, "note" : "http://www.gnicpm.ru/UserFiles/\u0434\u0438\u0441\u043f\u0430\u043d\u0441\u0435\u0440\u043d\u043e\u0435%20\u043d\u0430\u0431\u043b\u044e\u0434\u0435\u043d\u0438\u0435%20\u0431\u043e\u043b\u044c\u043d\u044b\u0445%20\u0425\u041d\u0418\u0417%20\u0421\u0410%20\u0447\u0443\u0447\u0430\u043b\u0438\u043d.pdf\n\n        \nhttp://www.gnicpm.ru/\nhttp://www.ropniz.ru/", "page" : "214", "publisher-place" : "\u041c.", "title" : "\u0414\u0438\u0441\u043f\u0430\u043d\u0441\u0435\u0440\u043d\u043e\u0435 \u043d\u0430\u0431\u043b\u044e\u0434\u0435\u043d\u0438\u0435 \u0431\u043e\u043b\u044c\u043d\u044b\u0445 \u0445\u0440\u043e\u043d\u0438\u0447\u0435\u0441\u043a\u0438\u043c\u0438 \u043d\u0435\u0438\u043d\u0444\u0435\u043a\u0446\u0438\u043e\u043d\u043d\u044b\u043c\u0438 \u0437\u0430\u0431\u043e\u043b\u0435\u0432\u0430\u043d\u0438\u044f\u043c\u0438 \u0438 \u043f\u0430\u0446\u0438\u0435\u043d\u0442\u043e\u0432 \u0441 \u0432\u044b\u0441\u043e\u043a\u0438\u043c \u0440\u0438\u0441\u043a\u043e\u043c \u0438\u0445 \u0440\u0430\u0437\u0432\u0438\u0442\u0438\u044f. \u041c\u0435\u0442\u043e\u0434\u0438\u0447\u0435\u0441\u043a\u0438\u0435 \u0440\u0435\u043a\u043e\u043c\u0435\u043d\u0434\u0430\u0446\u0438\u0438.", "type" : "book" }, "uris" : [ "http://www.mendeley.com/documents/?uuid=72d4206f-c6d2-49d5-ade7-9227d5af7c6d" ] }, { "id" : "ITEM-4", "itemData" : { "DOI" : "10.1038/ki.2013.243", "ISSN" : "1523-1755", "PMID" : "23989362", "author" : [ { "dropping-particle" : "", "family" : "Kidney Disease Improving Global Outcomes (KDIGO) CKD Work Group", "given" : "", "non-dropping-particle" : "", "parse-names" : false, "suffix" : "" } ], "container-title" : "Kidney international", "id" : "ITEM-4", "issue" : "3 (1)", "issued" : { "date-parts" : [ [ "2013", "9" ] ] }, "page" : "1-150", "title" : "KDIGO 2012 clinical practice guideline for the evaluation and management of chronic kidney disease", "type" : "article-journal", "volume" : "Suppl" }, "uris" : [ "http://www.mendeley.com/documents/?uuid=5c67faf2-1f34-4d7c-8218-93057643becc" ] }, { "id" : "ITEM-5", "itemData" : { "author" : [ { "dropping-particle" : "", "family" : "National Kidney Foundation", "given" : "", "non-dropping-particle" : "", "parse-names" : false, "suffix" : "" } ], "container-title" : "Am J Kidney Dis", "id" : "ITEM-5", "issue" : "S1-S290", "issued" : { "date-parts" : [ [ "2004" ] ] }, "title" : "K/DOQI clinical practice guidelines on hypertension and antihypertensive agents in chronic kidney disease.", "type" : "article-journal", "volume" : "43" }, "uris" : [ "http://www.mendeley.com/documents/?uuid=25328728-7668-4a4f-82a7-76dc567a7bb5" ] }, { "id" : "ITEM-6", "itemData" : { "author" : [ { "dropping-particle" : "", "family" : "KidneyDisease: Improving Global Outcomes (KDIGO) Blood Pressure Work Group", "given" : "", "non-dropping-particle" : "", "parse-names" : false, "suffix" : "" } ], "container-title" : "Kidney international", "id" : "ITEM-6", "issue" : "5", "issued" : { "date-parts" : [ [ "2012" ] ] }, "title" : "KDIGO Clinical Practice Guideline for the Management of Blood Pressure in Chronic Kidney Disease", "type" : "article-journal", "volume" : "2" }, "uris" : [ "http://www.mendeley.com/documents/?uuid=53582766-cd69-4a5e-af19-06f7057f50cc" ] }, { "id" : "ITEM-7", "itemData" : { "DOI" : "10.1093/eurheartj/eht151", "ISSN" : "1522-9645", "PMID" : "23771844", "author" : [ { "dropping-particle" : "", "family" : "Mancia", "given" : "Giuseppe", "non-dropping-particle" : "", "parse-names" : false, "suffix" : "" }, { "dropping-particle" : "", "family" : "Fagard", "given" : "Robert", "non-dropping-particle" : "", "parse-names" : false, "suffix" : "" }, { "dropping-particle" : "", "family" : "Narkiewicz", "given" : "Krzysztof", "non-dropping-particle" : "", "parse-names" : false, "suffix" : "" }, { "dropping-particle" : "", "family" : "Redon", "given" : "Josep", "non-dropping-particle" : "", "parse-names" : false, "suffix" : "" }, { "dropping-particle" : "", "family" : "Zanchetti", "given" : "Alberto", "non-dropping-particle" : "", "parse-names" : false, "suffix" : "" }, { "dropping-particle" : "", "family" : "B\u00f6hm", "given" : "Michael", "non-dropping-particle" : "", "parse-names" : false, "suffix" : "" }, { "dropping-particle" : "", "family" : "Christiaens", "given" : "Thierry", "non-dropping-particle" : "", "parse-names" : false, "suffix" : "" }, { "dropping-particle" : "", "family" : "Cifkova", "given" : "Renata", "non-dropping-particle" : "", "parse-names" : false, "suffix" : "" }, { "dropping-particle" : "", "family" : "Backer", "given" : "Guy", "non-dropping-particle" : "De", "parse-names" : false, "suffix" : "" }, { "dropping-particle" : "", "family" : "Dominiczak", "given" : "Anna", "non-dropping-particle" : "", "parse-names" : false, "suffix" : "" }, { "dropping-particle" : "", "family" : "Galderisi", "given" : "Maurizio", "non-dropping-particle" : "", "parse-names" : false, "suffix" : "" }, { "dropping-particle" : "", "family" : "Grobbee", "given" : "Diederick E", "non-dropping-particle" : "", "parse-names" : false, "suffix" : "" }, { "dropping-particle" : "", "family" : "Jaarsma", "given" : "Tiny", "non-dropping-particle" : "", "parse-names" : false, "suffix" : "" }, { "dropping-particle" : "", "family" : "Kirchhof", "given" : "Paulus", "non-dropping-particle" : "", "parse-names" : false, "suffix" : "" }, { "dropping-particle" : "", "family" : "Kjeldsen", "given" : "Sverre E", "non-dropping-particle" : "", "parse-names" : false, "suffix" : "" }, { "dropping-particle" : "", "family" : "Laurent", "given" : "St\u00e9phane", "non-dropping-particle" : "", "parse-names" : false, "suffix" : "" }, { "dropping-particle" : "", "family" : "Manolis", "given" : "Athanasios J", "non-dropping-particle" : "", "parse-names" : false, "suffix" : "" }, { "dropping-particle" : "", "family" : "Nilsson", "given" : "Peter M", "non-dropping-particle" : "", "parse-names" : false, "suffix" : "" }, { "dropping-particle" : "", "family" : "Ruilope", "given" : "Luis Miguel", "non-dropping-particle" : "", "parse-names" : false, "suffix" : "" }, { "dropping-particle" : "", "family" : "Schmieder", "given" : "Roland E", "non-dropping-particle" : "", "parse-names" : false, "suffix" : "" }, { "dropping-particle" : "", "family" : "Sirnes", "given" : "Per Anton", "non-dropping-particle" : "", "parse-names" : false, "suffix" : "" }, { "dropping-particle" : "", "family" : "Sleight", "given" : "Peter", "non-dropping-particle" : "", "parse-names" : false, "suffix" : "" }, { "dropping-particle" : "", "family" : "Viigimaa", "given" : "Margus", "non-dropping-particle" : "", "parse-names" : false, "suffix" : "" }, { "dropping-particle" : "", "family" : "Waeber", "given" : "Bernard", "non-dropping-particle" : "", "parse-names" : false, "suffix" : "" }, { "dropping-particle" : "", "family" : "Zannad", "given" : "Faiez", "non-dropping-particle" : "", "parse-names" : false, "suffix" : "" }, { "dropping-particle" : "", "family" : "Burnier", "given" : "Michel", "non-dropping-particle" : "", "parse-names" : false, "suffix" : "" }, { "dropping-particle" : "", "family" : "Ambrosioni", "given" : "Ettore", "non-dropping-particle" : "", "parse-names" : false, "suffix" : "" }, { "dropping-particle" : "", "family" : "Caufield", "given" : "Mark", "non-dropping-particle" : "", "parse-names" : false, "suffix" : "" }, { "dropping-particle" : "", "family" : "Coca", "given" : "Antonio", "non-dropping-particle" : "", "parse-names" : false, "suffix" : "" }, { "dropping-particle" : "", "family" : "Olsen", "given" : "Michael Hecht", "non-dropping-particle" : "", "parse-names" : false, "suffix" : "" }, { "dropping-particle" : "", "family" : "Tsioufis", "given" : "Costas", "non-dropping-particle" : "", "parse-names" : false, "suffix" : "" }, { "dropping-particle" : "", "family" : "Borne", "given" : "Philippe", "non-dropping-particle" : "van de", "parse-names" : false, "suffix" : "" }, { "dropping-particle" : "", "family" : "Zamorano", "given" : "Jose Luis", "non-dropping-particle" : "", "parse-names" : false, "suffix" : "" }, { "dropping-particle" : "", "family" : "Achenbach", "given" : "Stephan", "non-dropping-particle" : "", "parse-names" : false, "suffix" : "" }, { "dropping-particle" : "", "family" : "Baumgartner", "given" : "Helmut", "non-dropping-particle" : "", "parse-names" : false, "suffix" : "" }, { "dropping-particle" : "", "family" : "Bax", "given" : "Jeroen J", "non-dropping-particle" : "", "parse-names" : false, "suffix" : "" }, { "dropping-particle" : "", "family" : "Bueno", "given" : "H\u00e9ctor", "non-dropping-particle" : "", "parse-names" : false, "suffix" : "" }, { "dropping-particle" : "", "family" : "Dean", "given" : "Veronica", "non-dropping-particle" : "", "parse-names" : false, "suffix" : "" }, { "dropping-particle" : "", "family" : "Deaton", "given" : "Christi", "non-dropping-particle" : "", "parse-names" : false, "suffix" : "" }, { "dropping-particle" : "", "family" : "Erol", "given" : "Cetin", "non-dropping-particle" : "", "parse-names" : false, "suffix" : "" }, { "dropping-particle" : "", "family" : "Ferrari", "given" : "Roberto", "non-dropping-particle" : "", "parse-names" : false, "suffix" : "" }, { "dropping-particle" : "", "family" : "Hasdai", "given" : "David", "non-dropping-particle" : "", "parse-names" : false, "suffix" : "" }, { "dropping-particle" : "", "family" : "Hoes", "given" : "Arno W", "non-dropping-particle" : "", "parse-names" : false, "suffix" : "" }, { "dropping-particle" : "", "family" : "Knuuti", "given" : "Juhani", "non-dropping-particle" : "", "parse-names" : false, "suffix" : "" }, { "dropping-particle" : "", "family" : "Kolh", "given" : "Philippe", "non-dropping-particle" : "", "parse-names" : false, "suffix" : "" }, { "dropping-particle" : "", "family" : "Lancellotti", "given" : "Patrizio", "non-dropping-particle" : "", "parse-names" : false, "suffix" : "" }, { "dropping-particle" : "", "family" : "Linhart", "given" : "Ales", "non-dropping-particle" : "", "parse-names" : false, "suffix" : "" }, { "dropping-particle" : "", "family" : "Nihoyannopoulos", "given" : "Petros", "non-dropping-particle" : "", "parse-names" : false, "suffix" : "" }, { "dropping-particle" : "", "family" : "Piepoli", "given" : "Massimo F", "non-dropping-particle" : "", "parse-names" : false, "suffix" : "" }, { "dropping-particle" : "", "family" : "Ponikowski", "given" : "Piotr", "non-dropping-particle" : "", "parse-names" : false, "suffix" : "" }, { "dropping-particle" : "", "family" : "Tamargo", "given" : "Juan Luis", "non-dropping-particle" : "", "parse-names" : false, "suffix" : "" }, { "dropping-particle" : "", "family" : "Tendera", "given" : "Michal", "non-dropping-particle" : "", "parse-names" : false, "suffix" : "" }, { "dropping-particle" : "", "family" : "Torbicki", "given" : "Adam", "non-dropping-particle" : "", "parse-names" : false, "suffix" : "" }, { "dropping-particle" : "", "family" : "Wijns", "given" : "William", "non-dropping-particle" : "", "parse-names" : false, "suffix" : "" }, { "dropping-particle" : "", "family" : "Windecker", "given" : "Stephan", "non-dropping-particle" : "", "parse-names" : false, "suffix" : "" }, { "dropping-particle" : "", "family" : "Clement", "given" : "Denis L", "non-dropping-particle" : "", "parse-names" : false, "suffix" : "" }, { "dropping-particle" : "", "family" : "Gillebert", "given" : "Thierry C", "non-dropping-particle" : "", "parse-names" : false, "suffix" : "" }, { "dropping-particle" : "", "family" : "Rosei", "given" : "Enrico Agabiti", "non-dropping-particle" : "", "parse-names" : false, "suffix" : "" }, { "dropping-particle" : "", "family" : "Anker", "given" : "Stefan D", "non-dropping-particle" : "", "parse-names" : false, "suffix" : "" }, { "dropping-particle" : "", "family" : "Bauersachs", "given" : "Johann", "non-dropping-particle" : "", "parse-names" : false, "suffix" : "" }, { "dropping-particle" : "", "family" : "Hitij", "given" : "Jana Brguljan", "non-dropping-particle" : "", "parse-names" : false, "suffix" : "" }, { "dropping-particle" : "", "family" : "Caulfield", "given" : "Mark", "non-dropping-particle" : "", "parse-names" : false, "suffix" : "" }, { "dropping-particle" : "", "family" : "Buyzere", "given" : "Marc", "non-dropping-particle" : "De", "parse-names" : false, "suffix" : "" }, { "dropping-particle" : "", "family" : "Geest", "given" : "Sabina", "non-dropping-particle" : "De", "parse-names" : false, "suffix" : "" }, { "dropping-particle" : "", "family" : "Derumeaux", "given" : "Genevi\u00e8ve Anne", "non-dropping-particle" : "", "parse-names" : false, "suffix" : "" }, { "dropping-particle" : "", "family" : "Erdine", "given" : "Serap", "non-dropping-particle" : "", "parse-names" : false, "suffix" : "" }, { "dropping-particle" : "", "family" : "Farsang", "given" : "Csaba", "non-dropping-particle" : "", "parse-names" : false, "suffix" : "" }, { "dropping-particle" : "", "family" : "Funck-Brentano", "given" : "Christian", "non-dropping-particle" : "", "parse-names" : false, "suffix" : "" }, { "dropping-particle" : "", "family" : "Gerc", "given" : "Vjekoslav", "non-dropping-particle" : "", "parse-names" : false, "suffix" : "" }, { "dropping-particle" : "", "family" : "Germano", "given" : "Giuseppe", "non-dropping-particle" : "", "parse-names" : false, "suffix" : "" }, { "dropping-particle" : "", "family" : "Gielen", "given" : "Stephan", "non-dropping-particle" : "", "parse-names" : false, "suffix" : "" }, { "dropping-particle" : "", "family" : "Haller", "given" : "Herman", "non-dropping-particle" : "", "parse-names" : false, "suffix" : "" }, { "dropping-particle" : "", "family" : "Jordan", "given" : "Jens", "non-dropping-particle" : "", "parse-names" : false, "suffix" : "" }, { "dropping-particle" : "", "family" : "Kahan", "given" : "Thomas", "non-dropping-particle" : "", "parse-names" : false, "suffix" : "" }, { "dropping-particle" : "", "family" : "Komajda", "given" : "Michel", "non-dropping-particle" : "", "parse-names" : false, "suffix" : "" }, { "dropping-particle" : "", "family" : "Lovic", "given" : "Dragan", "non-dropping-particle" : "", "parse-names" : false, "suffix" : "" }, { "dropping-particle" : "", "family" : "Mahrholdt", "given" : "Heiko", "non-dropping-particle" : "", "parse-names" : false, "suffix" : "" }, { "dropping-particle" : "", "family" : "Ostergren", "given" : "Jan", "non-dropping-particle" : "", "parse-names" : false, "suffix" : "" }, { "dropping-particle" : "", "family" : "Parati", "given" : "Gianfranco", "non-dropping-particle" : "", "parse-names" : false, "suffix" : "" }, { "dropping-particle" : "", "family" : "Perk", "given" : "Joep", "non-dropping-particle" : "", "parse-names" : false, "suffix" : "" }, { "dropping-particle" : "", "family" : "Polonia", "given" : "Jorge", "non-dropping-particle" : "", "parse-names" : false, "suffix" : "" }, { "dropping-particle" : "", "family" : "Popescu", "given" : "Bogdan a", "non-dropping-particle" : "", "parse-names" : false, "suffix" : "" }, { "dropping-particle" : "", "family" : "Reiner", "given" : "Zeljko", "non-dropping-particle" : "", "parse-names" : false, "suffix" : "" }, { "dropping-particle" : "", "family" : "Ryd\u00e9n", "given" : "Lars", "non-dropping-particle" : "", "parse-names" : false, "suffix" : "" }, { "dropping-particle" : "", "family" : "Sirenko", "given" : "Yuriy", "non-dropping-particle" : "", "parse-names" : false, "suffix" : "" }, { "dropping-particle" : "", "family" : "Stanton", "given" : "Alice", "non-dropping-particle" : "", "parse-names" : false, "suffix" : "" }, { "dropping-particle" : "", "family" : "Struijker-Boudier", "given" : "Harry", "non-dropping-particle" : "", "parse-names" : false, "suffix" : "" }, { "dropping-particle" : "", "family" : "Vlachopoulos", "given" : "Charalambos", "non-dropping-particle" : "", "parse-names" : false, "suffix" : "" }, { "dropping-particle" : "", "family" : "Volpe", "given" : "Massimo", "non-dropping-particle" : "", "parse-names" : false, "suffix" : "" }, { "dropping-particle" : "", "family" : "Wood", "given" : "David a", "non-dropping-particle" : "", "parse-names" : false, "suffix" : "" } ], "container-title" : "European heart journal", "id" : "ITEM-7", "issue" : "28", "issued" : { "date-parts" : [ [ "2013", "7" ] ] }, "page" : "2159-219", "title" : "2013 ESH/ESC guidelines for the management of arterial hypertension: the Task Force for the Management of Arterial Hypertension of the European Society of Hypertension (ESH) and of the European Society of Cardiology (ESC).", "type" : "article-journal", "volume" : "34" }, "uris" : [ "http://www.mendeley.com/documents/?uuid=3a63d721-cff4-4b35-b0fa-75b89cd65fdf" ] } ], "mendeley" : { "previouslyFormattedCitation" : "[\u041f\u043e\u0434 \u0440\u0435\u0434. \u0421.\u0410. \u0411\u043e\u0439\u0446\u043e\u0432\u0430 \u0438 \u0410.\u0413. \u0427\u0443\u0447\u0430\u043b\u0438\u043d\u0430, 2014; \u041d\u0430\u0446\u0438\u043e\u043d\u0430\u043b\u044c\u043d\u044b\u0435 \u0440\u0435\u043a\u043e\u043c\u0435\u043d\u0434\u0430\u0446\u0438\u0438, 2012; \u041d\u0430\u0446\u0438\u043e\u043d\u0430\u043b\u044c\u043d\u044b\u0435 \u0440\u0435\u043a\u043e\u043c\u0435\u043d\u0434\u0430\u0446\u0438\u0438, 2014; Kidney Disease Improving Global Outcomes (KDIGO) CKD Work Group, 2013; KidneyDisease: Improving Global Outcomes (KDIGO) Blood Pressure Work Group, 2012; Mancia \u0438 \u0434\u0440., 2013; National Kidney Foundation, 2004]" }, "properties" : { "noteIndex" : 0 }, "schema" : "https://github.com/citation-style-language/schema/raw/master/csl-citation.json" }</w:instrText>
      </w:r>
      <w:r w:rsidR="009D7C63" w:rsidRPr="0044196C">
        <w:rPr>
          <w:rFonts w:cs="Times New Roman"/>
          <w:color w:val="000000" w:themeColor="text1"/>
        </w:rPr>
        <w:fldChar w:fldCharType="separate"/>
      </w:r>
      <w:r w:rsidR="00EA3B99" w:rsidRPr="0044196C">
        <w:rPr>
          <w:rFonts w:cs="Times New Roman"/>
          <w:noProof/>
          <w:color w:val="000000" w:themeColor="text1"/>
        </w:rPr>
        <w:t>[Под ред. С.А. Бойцова и А.Г. Чучалина, 2014; Национальные рекомендации, 2012; Национальные рекомендации, 2014; Kidney Disease Improving Global Outcomes (KDIGO) CKD Work Group, 2013; KidneyDisease: Improving Global Outcomes (KDIGO) Blood Pressure Work Group, 2012; Mancia и др., 2013; National Kidney Foundation, 2004]</w:t>
      </w:r>
      <w:r w:rsidR="009D7C63" w:rsidRPr="0044196C">
        <w:rPr>
          <w:rFonts w:cs="Times New Roman"/>
          <w:color w:val="000000" w:themeColor="text1"/>
        </w:rPr>
        <w:fldChar w:fldCharType="end"/>
      </w:r>
      <w:r w:rsidRPr="0044196C">
        <w:rPr>
          <w:rFonts w:cs="Times New Roman"/>
          <w:color w:val="000000" w:themeColor="text1"/>
        </w:rPr>
        <w:t>,</w:t>
      </w:r>
      <w:r w:rsidR="00CC2B3A" w:rsidRPr="0044196C">
        <w:rPr>
          <w:rFonts w:cs="Times New Roman"/>
          <w:color w:val="000000" w:themeColor="text1"/>
        </w:rPr>
        <w:t xml:space="preserve"> </w:t>
      </w:r>
      <w:r w:rsidRPr="0044196C">
        <w:rPr>
          <w:rFonts w:cs="Times New Roman"/>
          <w:color w:val="000000" w:themeColor="text1"/>
        </w:rPr>
        <w:t xml:space="preserve">отражают достижения российской науки в этой области медицины. Они согласуются с рекомендациями по диагностике и лечению АГ </w:t>
      </w:r>
      <w:r w:rsidR="0026641C" w:rsidRPr="0044196C">
        <w:rPr>
          <w:rFonts w:cs="Times New Roman"/>
          <w:color w:val="000000" w:themeColor="text1"/>
        </w:rPr>
        <w:t>Российского медицинского</w:t>
      </w:r>
      <w:r w:rsidR="00B971C6" w:rsidRPr="0044196C">
        <w:rPr>
          <w:rFonts w:cs="Times New Roman"/>
          <w:color w:val="000000" w:themeColor="text1"/>
        </w:rPr>
        <w:t xml:space="preserve"> </w:t>
      </w:r>
      <w:r w:rsidR="0026641C" w:rsidRPr="0044196C">
        <w:rPr>
          <w:rFonts w:cs="Times New Roman"/>
          <w:color w:val="000000" w:themeColor="text1"/>
        </w:rPr>
        <w:t>общества по артериальной гипертониии Всероссийского научного общества</w:t>
      </w:r>
      <w:r w:rsidR="00B971C6" w:rsidRPr="0044196C">
        <w:rPr>
          <w:rFonts w:cs="Times New Roman"/>
          <w:color w:val="000000" w:themeColor="text1"/>
        </w:rPr>
        <w:t xml:space="preserve"> </w:t>
      </w:r>
      <w:r w:rsidR="0026641C" w:rsidRPr="0044196C">
        <w:rPr>
          <w:rFonts w:cs="Times New Roman"/>
          <w:color w:val="000000" w:themeColor="text1"/>
        </w:rPr>
        <w:t>кардиологов</w:t>
      </w:r>
      <w:r w:rsidR="00CC2B3A" w:rsidRPr="0044196C">
        <w:rPr>
          <w:rFonts w:cs="Times New Roman"/>
          <w:color w:val="000000" w:themeColor="text1"/>
        </w:rPr>
        <w:t xml:space="preserve"> </w:t>
      </w:r>
      <w:r w:rsidR="009D7C63" w:rsidRPr="0044196C">
        <w:rPr>
          <w:rFonts w:cs="Times New Roman"/>
          <w:color w:val="000000" w:themeColor="text1"/>
        </w:rPr>
        <w:fldChar w:fldCharType="begin" w:fldLock="1"/>
      </w:r>
      <w:r w:rsidR="00EA3B99" w:rsidRPr="0044196C">
        <w:rPr>
          <w:rFonts w:cs="Times New Roman"/>
          <w:color w:val="000000" w:themeColor="text1"/>
        </w:rPr>
        <w:instrText>ADDIN CSL_CITATION { "citationItems" : [ { "id" : "ITEM-1", "itemData" : { "author" : [ { "dropping-particle" : "", "family" : "\u0427\u0430\u0437\u043e\u0432\u0430", "given" : "\u0418.\u0415.", "non-dropping-particle" : "", "parse-names" : false, "suffix" : "" }, { "dropping-particle" : "", "family" : "\u0420\u0430\u0442\u043e\u0432\u0430", "given" : "\u041b.\u0413.", "non-dropping-particle" : "", "parse-names" : false, "suffix" : "" }, { "dropping-particle" : "", "family" : "\u0411\u043e\u0439\u0446\u043e\u0432", "given" : "\u0421.\u0410.", "non-dropping-particle" : "", "parse-names" : false, "suffix" : "" }, { "dropping-particle" : "", "family" : "\u041d\u0435\u0431\u0438\u0435\u0440\u0438\u0434\u0437\u0435", "given" : "\u0414.\u0412.", "non-dropping-particle" : "", "parse-names" : false, "suffix" : "" } ], "container-title" : "\u0421\u0438\u0441\u0442\u0435\u043c\u043d\u044b\u0435 \u0433\u0438\u043f\u0435\u0440\u0442\u0435\u043d\u0437\u0438\u0438", "id" : "ITEM-1", "issued" : { "date-parts" : [ [ "2010" ] ] }, "page" : "5-26", "title" : "\u0414\u0438\u0430\u0433\u043d\u043e\u0441\u0442\u0438\u043a\u0430 \u0438 \u043b\u0435\u0447\u0435\u043d\u0438\u0435 \u0430\u0440\u0442\u0435\u0440\u0438\u0430\u043b\u044c\u043d\u043e\u0439 \u0433\u0438\u043f\u0435\u0440\u0442\u0435\u043d\u0437\u0438\u0438. (\u0420\u0435\u043a\u043e\u043c\u0435\u043d\u0434\u0430\u0446\u0438\u0438 \u0420\u043e\u0441\u0441\u0438\u0439\u0441\u043a\u043e\u0433\u043e \u043c\u0435\u0434\u0438\u0446\u0438\u043d\u0441\u043a\u043e\u0433\u043e \u043e\u0431\u0449\u0435\u0441\u0442\u0432\u0430 \u043f\u043e \u0430\u0440\u0442\u0435\u0440\u0438\u0430\u043b\u044c\u043d\u043e\u0439 \u0433\u0438\u043f\u0435\u0440\u0442\u043e\u043d\u0438\u0438 \u0438 \u0412\u0441\u0435\u0440\u043e\u0441\u0441\u0438\u0439\u0441\u043a\u043e\u0433\u043e \u043d\u0430\u0443\u0447\u043d\u043e\u0433\u043e \u043e\u0431\u0449\u0435\u0441\u0442\u0432\u0430 \u043a\u0430\u0440\u0434\u0438\u043e\u043b\u043e\u0433\u043e\u0432)", "type" : "article-journal", "volume" : "3" }, "uris" : [ "http://www.mendeley.com/documents/?uuid=1b81a91b-9b6a-4993-914a-4c0036ce5323" ] } ], "mendeley" : { "previouslyFormattedCitation" : "[\u0427\u0430\u0437\u043e\u0432\u0430 \u0438 \u0434\u0440., 2010]" }, "properties" : { "noteIndex" : 0 }, "schema" : "https://github.com/citation-style-language/schema/raw/master/csl-citation.json" }</w:instrText>
      </w:r>
      <w:r w:rsidR="009D7C63" w:rsidRPr="0044196C">
        <w:rPr>
          <w:rFonts w:cs="Times New Roman"/>
          <w:color w:val="000000" w:themeColor="text1"/>
        </w:rPr>
        <w:fldChar w:fldCharType="separate"/>
      </w:r>
      <w:r w:rsidR="00EA3B99" w:rsidRPr="0044196C">
        <w:rPr>
          <w:rFonts w:cs="Times New Roman"/>
          <w:noProof/>
          <w:color w:val="000000" w:themeColor="text1"/>
        </w:rPr>
        <w:t>[Чазова и др., 2010]</w:t>
      </w:r>
      <w:r w:rsidR="009D7C63" w:rsidRPr="0044196C">
        <w:rPr>
          <w:rFonts w:cs="Times New Roman"/>
          <w:color w:val="000000" w:themeColor="text1"/>
        </w:rPr>
        <w:fldChar w:fldCharType="end"/>
      </w:r>
      <w:r w:rsidRPr="0044196C">
        <w:rPr>
          <w:rFonts w:cs="Times New Roman"/>
          <w:color w:val="000000" w:themeColor="text1"/>
        </w:rPr>
        <w:t xml:space="preserve">, учитывают опыт и </w:t>
      </w:r>
      <w:r w:rsidR="0026641C" w:rsidRPr="0044196C">
        <w:rPr>
          <w:rFonts w:cs="Times New Roman"/>
          <w:color w:val="000000" w:themeColor="text1"/>
        </w:rPr>
        <w:t>современные</w:t>
      </w:r>
      <w:r w:rsidRPr="0044196C">
        <w:rPr>
          <w:rFonts w:cs="Times New Roman"/>
          <w:color w:val="000000" w:themeColor="text1"/>
        </w:rPr>
        <w:t xml:space="preserve">воззрения, обобщенные в </w:t>
      </w:r>
      <w:r w:rsidR="00426596" w:rsidRPr="0044196C">
        <w:rPr>
          <w:rFonts w:cs="Times New Roman"/>
          <w:color w:val="000000" w:themeColor="text1"/>
        </w:rPr>
        <w:t>учебниках и руководствах</w:t>
      </w:r>
      <w:r w:rsidRPr="0044196C">
        <w:rPr>
          <w:rFonts w:cs="Times New Roman"/>
          <w:color w:val="000000" w:themeColor="text1"/>
        </w:rPr>
        <w:t>.</w:t>
      </w:r>
    </w:p>
    <w:p w:rsidR="00BB1F38" w:rsidRPr="0044196C" w:rsidRDefault="00BB1F38" w:rsidP="00BB1F38">
      <w:pPr>
        <w:rPr>
          <w:rFonts w:cs="Times New Roman"/>
          <w:color w:val="000000" w:themeColor="text1"/>
        </w:rPr>
      </w:pPr>
      <w:r w:rsidRPr="0044196C">
        <w:rPr>
          <w:rFonts w:cs="Times New Roman"/>
          <w:color w:val="000000" w:themeColor="text1"/>
        </w:rPr>
        <w:t xml:space="preserve">Рекомендации адресованы нефрологам, а также кардиологам, эндокринологам, терапевтам, семейным врачам, </w:t>
      </w:r>
      <w:r w:rsidR="0013541A" w:rsidRPr="0044196C">
        <w:rPr>
          <w:rFonts w:cs="Times New Roman"/>
          <w:color w:val="000000" w:themeColor="text1"/>
        </w:rPr>
        <w:t xml:space="preserve">врачам кабинетов медицинской профилактики и Центров здоровья, </w:t>
      </w:r>
      <w:r w:rsidRPr="0044196C">
        <w:rPr>
          <w:rFonts w:cs="Times New Roman"/>
          <w:color w:val="000000" w:themeColor="text1"/>
        </w:rPr>
        <w:t>которые могут столкнуться в своей практике с проблемой вторичной почечной АГ.</w:t>
      </w:r>
      <w:r w:rsidRPr="0044196C">
        <w:rPr>
          <w:rFonts w:cs="Times New Roman"/>
          <w:color w:val="000000" w:themeColor="text1"/>
        </w:rPr>
        <w:br w:type="page"/>
      </w:r>
    </w:p>
    <w:p w:rsidR="000F4690" w:rsidRPr="0044196C" w:rsidRDefault="000F4690" w:rsidP="00622DC7">
      <w:pPr>
        <w:pStyle w:val="10"/>
        <w:numPr>
          <w:ilvl w:val="0"/>
          <w:numId w:val="3"/>
        </w:numPr>
        <w:rPr>
          <w:color w:val="000000" w:themeColor="text1"/>
        </w:rPr>
      </w:pPr>
      <w:bookmarkStart w:id="6" w:name="_Toc279732189"/>
      <w:bookmarkStart w:id="7" w:name="_Toc279831038"/>
      <w:r w:rsidRPr="0044196C">
        <w:rPr>
          <w:color w:val="000000" w:themeColor="text1"/>
        </w:rPr>
        <w:lastRenderedPageBreak/>
        <w:t>Методология</w:t>
      </w:r>
      <w:bookmarkEnd w:id="6"/>
      <w:bookmarkEnd w:id="7"/>
    </w:p>
    <w:p w:rsidR="00F21A10" w:rsidRPr="0044196C" w:rsidRDefault="00F21A10" w:rsidP="00F21A10">
      <w:pPr>
        <w:pStyle w:val="a6"/>
        <w:spacing w:line="240" w:lineRule="auto"/>
        <w:ind w:left="360" w:firstLine="0"/>
        <w:rPr>
          <w:b/>
          <w:color w:val="000000" w:themeColor="text1"/>
          <w:szCs w:val="24"/>
        </w:rPr>
      </w:pPr>
      <w:r w:rsidRPr="0044196C">
        <w:rPr>
          <w:b/>
          <w:color w:val="000000" w:themeColor="text1"/>
          <w:szCs w:val="24"/>
        </w:rPr>
        <w:t xml:space="preserve">Методика оценки силы рекомендаций и уровня их </w:t>
      </w:r>
      <w:r w:rsidR="00DB175B" w:rsidRPr="0044196C">
        <w:rPr>
          <w:b/>
          <w:color w:val="000000" w:themeColor="text1"/>
          <w:szCs w:val="24"/>
        </w:rPr>
        <w:t>до</w:t>
      </w:r>
      <w:r w:rsidRPr="0044196C">
        <w:rPr>
          <w:b/>
          <w:color w:val="000000" w:themeColor="text1"/>
          <w:szCs w:val="24"/>
        </w:rPr>
        <w:t xml:space="preserve">казательности, использованная при составлении данных клинических рекомендаций </w:t>
      </w:r>
    </w:p>
    <w:p w:rsidR="00DD10B7" w:rsidRPr="0044196C" w:rsidRDefault="00DD10B7" w:rsidP="00DD10B7">
      <w:pPr>
        <w:pStyle w:val="af3"/>
        <w:rPr>
          <w:color w:val="000000" w:themeColor="text1"/>
          <w:sz w:val="12"/>
        </w:rPr>
      </w:pPr>
    </w:p>
    <w:p w:rsidR="00DB175B" w:rsidRPr="0044196C" w:rsidRDefault="004D7A44" w:rsidP="00F21A10">
      <w:pPr>
        <w:pStyle w:val="a6"/>
        <w:suppressAutoHyphens/>
        <w:autoSpaceDN w:val="0"/>
        <w:spacing w:line="240" w:lineRule="auto"/>
        <w:ind w:left="0"/>
        <w:textAlignment w:val="baseline"/>
        <w:rPr>
          <w:color w:val="000000" w:themeColor="text1"/>
          <w:kern w:val="3"/>
          <w:szCs w:val="20"/>
        </w:rPr>
      </w:pPr>
      <w:r w:rsidRPr="0044196C">
        <w:rPr>
          <w:color w:val="000000" w:themeColor="text1"/>
          <w:kern w:val="3"/>
          <w:szCs w:val="20"/>
        </w:rPr>
        <w:t>Рабочей группой использована методика</w:t>
      </w:r>
      <w:r w:rsidR="00B971C6" w:rsidRPr="0044196C">
        <w:rPr>
          <w:color w:val="000000" w:themeColor="text1"/>
          <w:kern w:val="3"/>
          <w:szCs w:val="20"/>
        </w:rPr>
        <w:t xml:space="preserve"> </w:t>
      </w:r>
      <w:r w:rsidRPr="0044196C">
        <w:rPr>
          <w:color w:val="000000" w:themeColor="text1"/>
          <w:kern w:val="3"/>
          <w:szCs w:val="20"/>
        </w:rPr>
        <w:t xml:space="preserve">оценки силы рекомендаций и уровня их </w:t>
      </w:r>
      <w:r w:rsidR="00DB175B" w:rsidRPr="0044196C">
        <w:rPr>
          <w:color w:val="000000" w:themeColor="text1"/>
          <w:kern w:val="3"/>
          <w:szCs w:val="20"/>
        </w:rPr>
        <w:t>до</w:t>
      </w:r>
      <w:r w:rsidRPr="0044196C">
        <w:rPr>
          <w:color w:val="000000" w:themeColor="text1"/>
          <w:kern w:val="3"/>
          <w:szCs w:val="20"/>
        </w:rPr>
        <w:t>казательности</w:t>
      </w:r>
      <w:r w:rsidR="00DB175B" w:rsidRPr="0044196C">
        <w:rPr>
          <w:color w:val="000000" w:themeColor="text1"/>
          <w:kern w:val="3"/>
          <w:szCs w:val="20"/>
        </w:rPr>
        <w:t xml:space="preserve">, принятая в рекомендациях </w:t>
      </w:r>
      <w:r w:rsidR="00DB175B" w:rsidRPr="0044196C">
        <w:rPr>
          <w:color w:val="000000" w:themeColor="text1"/>
          <w:kern w:val="3"/>
          <w:szCs w:val="20"/>
          <w:lang w:val="en-US"/>
        </w:rPr>
        <w:t>KDIGO</w:t>
      </w:r>
      <w:r w:rsidR="00DB175B" w:rsidRPr="0044196C">
        <w:rPr>
          <w:color w:val="000000" w:themeColor="text1"/>
          <w:kern w:val="3"/>
          <w:szCs w:val="20"/>
        </w:rPr>
        <w:t>и других рекомендациях НОНР.</w:t>
      </w:r>
    </w:p>
    <w:p w:rsidR="00F21A10" w:rsidRPr="0044196C" w:rsidRDefault="00F21A10" w:rsidP="00D30C45">
      <w:pPr>
        <w:spacing w:before="0" w:after="200"/>
        <w:ind w:firstLine="0"/>
        <w:jc w:val="left"/>
        <w:rPr>
          <w:color w:val="000000" w:themeColor="text1"/>
        </w:rPr>
      </w:pPr>
      <w:r w:rsidRPr="0044196C">
        <w:rPr>
          <w:color w:val="000000" w:themeColor="text1"/>
          <w:kern w:val="3"/>
          <w:szCs w:val="20"/>
        </w:rPr>
        <w:t xml:space="preserve">Для рекомендаций сила указана как уровень 1, 2 или «нет степени» </w:t>
      </w:r>
      <w:r w:rsidR="002D53A0" w:rsidRPr="0044196C">
        <w:rPr>
          <w:color w:val="000000" w:themeColor="text1"/>
          <w:kern w:val="3"/>
          <w:szCs w:val="20"/>
        </w:rPr>
        <w:t>(</w:t>
      </w:r>
      <w:fldSimple w:instr=" REF _Ref374109438 \h  \* MERGEFORMAT ">
        <w:r w:rsidR="00D30C45" w:rsidRPr="0044196C">
          <w:rPr>
            <w:color w:val="000000" w:themeColor="text1"/>
          </w:rPr>
          <w:t xml:space="preserve">Таблица </w:t>
        </w:r>
        <w:r w:rsidR="00D30C45" w:rsidRPr="0044196C">
          <w:rPr>
            <w:noProof/>
            <w:color w:val="000000" w:themeColor="text1"/>
          </w:rPr>
          <w:t>1</w:t>
        </w:r>
      </w:fldSimple>
      <w:r w:rsidR="002D53A0" w:rsidRPr="0044196C">
        <w:rPr>
          <w:color w:val="000000" w:themeColor="text1"/>
          <w:kern w:val="3"/>
          <w:szCs w:val="20"/>
        </w:rPr>
        <w:t>)</w:t>
      </w:r>
      <w:r w:rsidRPr="0044196C">
        <w:rPr>
          <w:color w:val="000000" w:themeColor="text1"/>
          <w:kern w:val="3"/>
          <w:szCs w:val="20"/>
        </w:rPr>
        <w:t>, качество доказательной базы обозначено как А, В, С</w:t>
      </w:r>
      <w:r w:rsidR="002D53A0" w:rsidRPr="0044196C">
        <w:rPr>
          <w:color w:val="000000" w:themeColor="text1"/>
          <w:kern w:val="3"/>
          <w:szCs w:val="20"/>
        </w:rPr>
        <w:t xml:space="preserve">, </w:t>
      </w:r>
      <w:r w:rsidR="002D53A0" w:rsidRPr="0044196C">
        <w:rPr>
          <w:color w:val="000000" w:themeColor="text1"/>
          <w:kern w:val="3"/>
          <w:szCs w:val="20"/>
          <w:lang w:val="en-US"/>
        </w:rPr>
        <w:t>D</w:t>
      </w:r>
      <w:r w:rsidR="002D53A0" w:rsidRPr="0044196C">
        <w:rPr>
          <w:color w:val="000000" w:themeColor="text1"/>
          <w:kern w:val="3"/>
          <w:szCs w:val="20"/>
        </w:rPr>
        <w:t xml:space="preserve"> (</w:t>
      </w:r>
      <w:fldSimple w:instr=" REF _Ref374109566 \h  \* MERGEFORMAT ">
        <w:r w:rsidR="009D7C63" w:rsidRPr="0044196C">
          <w:rPr>
            <w:color w:val="000000" w:themeColor="text1"/>
          </w:rPr>
          <w:fldChar w:fldCharType="begin"/>
        </w:r>
        <w:r w:rsidR="00D30C45" w:rsidRPr="0044196C">
          <w:rPr>
            <w:color w:val="000000" w:themeColor="text1"/>
            <w:kern w:val="3"/>
            <w:szCs w:val="20"/>
          </w:rPr>
          <w:instrText xml:space="preserve"> REF _Ref278208812 \h </w:instrText>
        </w:r>
        <w:r w:rsidR="009D7C63" w:rsidRPr="0044196C">
          <w:rPr>
            <w:color w:val="000000" w:themeColor="text1"/>
          </w:rPr>
        </w:r>
        <w:r w:rsidR="009D7C63" w:rsidRPr="0044196C">
          <w:rPr>
            <w:color w:val="000000" w:themeColor="text1"/>
          </w:rPr>
          <w:fldChar w:fldCharType="separate"/>
        </w:r>
        <w:r w:rsidR="00D30C45" w:rsidRPr="0044196C">
          <w:rPr>
            <w:color w:val="000000" w:themeColor="text1"/>
          </w:rPr>
          <w:t xml:space="preserve">Таблица </w:t>
        </w:r>
        <w:r w:rsidR="00D30C45" w:rsidRPr="0044196C">
          <w:rPr>
            <w:noProof/>
            <w:color w:val="000000" w:themeColor="text1"/>
          </w:rPr>
          <w:t>2</w:t>
        </w:r>
        <w:r w:rsidR="009D7C63" w:rsidRPr="0044196C">
          <w:rPr>
            <w:color w:val="000000" w:themeColor="text1"/>
          </w:rPr>
          <w:fldChar w:fldCharType="end"/>
        </w:r>
      </w:fldSimple>
      <w:r w:rsidR="002D53A0" w:rsidRPr="0044196C">
        <w:rPr>
          <w:color w:val="000000" w:themeColor="text1"/>
        </w:rPr>
        <w:t>)</w:t>
      </w:r>
      <w:r w:rsidRPr="0044196C">
        <w:rPr>
          <w:color w:val="000000" w:themeColor="text1"/>
        </w:rPr>
        <w:t>.</w:t>
      </w:r>
    </w:p>
    <w:p w:rsidR="00F21A10" w:rsidRPr="0044196C" w:rsidRDefault="00F21A10" w:rsidP="00DD10B7">
      <w:pPr>
        <w:pStyle w:val="af3"/>
        <w:rPr>
          <w:color w:val="000000" w:themeColor="text1"/>
          <w:sz w:val="12"/>
        </w:rPr>
      </w:pPr>
    </w:p>
    <w:p w:rsidR="00D30C45" w:rsidRPr="0044196C" w:rsidRDefault="00D30C45" w:rsidP="00DD10B7">
      <w:pPr>
        <w:pStyle w:val="af3"/>
        <w:rPr>
          <w:color w:val="000000" w:themeColor="text1"/>
          <w:sz w:val="12"/>
        </w:rPr>
      </w:pPr>
    </w:p>
    <w:p w:rsidR="002D53A0" w:rsidRPr="0044196C" w:rsidRDefault="002D53A0" w:rsidP="002D53A0">
      <w:pPr>
        <w:pStyle w:val="af4"/>
        <w:rPr>
          <w:b w:val="0"/>
          <w:color w:val="000000" w:themeColor="text1"/>
          <w:kern w:val="3"/>
          <w:szCs w:val="20"/>
        </w:rPr>
      </w:pPr>
      <w:bookmarkStart w:id="8" w:name="_Ref374109438"/>
      <w:r w:rsidRPr="0044196C">
        <w:rPr>
          <w:color w:val="000000" w:themeColor="text1"/>
        </w:rPr>
        <w:t xml:space="preserve">Таблица </w:t>
      </w:r>
      <w:r w:rsidR="009D7C63" w:rsidRPr="0044196C">
        <w:rPr>
          <w:color w:val="000000" w:themeColor="text1"/>
        </w:rPr>
        <w:fldChar w:fldCharType="begin"/>
      </w:r>
      <w:r w:rsidR="001647A9" w:rsidRPr="0044196C">
        <w:rPr>
          <w:color w:val="000000" w:themeColor="text1"/>
        </w:rPr>
        <w:instrText xml:space="preserve"> SEQ Таблица \* ARABIC </w:instrText>
      </w:r>
      <w:r w:rsidR="009D7C63" w:rsidRPr="0044196C">
        <w:rPr>
          <w:color w:val="000000" w:themeColor="text1"/>
        </w:rPr>
        <w:fldChar w:fldCharType="separate"/>
      </w:r>
      <w:r w:rsidR="00DF40EA" w:rsidRPr="0044196C">
        <w:rPr>
          <w:noProof/>
          <w:color w:val="000000" w:themeColor="text1"/>
        </w:rPr>
        <w:t>1</w:t>
      </w:r>
      <w:r w:rsidR="009D7C63" w:rsidRPr="0044196C">
        <w:rPr>
          <w:noProof/>
          <w:color w:val="000000" w:themeColor="text1"/>
        </w:rPr>
        <w:fldChar w:fldCharType="end"/>
      </w:r>
      <w:bookmarkEnd w:id="8"/>
    </w:p>
    <w:p w:rsidR="00F21A10" w:rsidRPr="0044196C" w:rsidRDefault="00F21A10" w:rsidP="002D53A0">
      <w:pPr>
        <w:pStyle w:val="af4"/>
        <w:rPr>
          <w:color w:val="000000" w:themeColor="text1"/>
        </w:rPr>
      </w:pPr>
      <w:r w:rsidRPr="0044196C">
        <w:rPr>
          <w:color w:val="000000" w:themeColor="text1"/>
        </w:rPr>
        <w:t>Оценка силы рекомендаций</w:t>
      </w:r>
    </w:p>
    <w:p w:rsidR="00F21A10" w:rsidRPr="0044196C" w:rsidRDefault="00F21A10" w:rsidP="00DD10B7">
      <w:pPr>
        <w:pStyle w:val="af3"/>
        <w:rPr>
          <w:color w:val="000000" w:themeColor="text1"/>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2555"/>
        <w:gridCol w:w="2483"/>
        <w:gridCol w:w="2631"/>
      </w:tblGrid>
      <w:tr w:rsidR="00F21A10" w:rsidRPr="0044196C" w:rsidTr="00E819A2">
        <w:tc>
          <w:tcPr>
            <w:tcW w:w="1701" w:type="dxa"/>
            <w:vMerge w:val="restart"/>
            <w:tcBorders>
              <w:top w:val="nil"/>
              <w:left w:val="nil"/>
              <w:bottom w:val="single" w:sz="4" w:space="0" w:color="FFFFFF" w:themeColor="background1"/>
              <w:right w:val="single" w:sz="4" w:space="0" w:color="FFFFFF" w:themeColor="background1"/>
            </w:tcBorders>
            <w:shd w:val="clear" w:color="auto" w:fill="365F91" w:themeFill="accent1" w:themeFillShade="BF"/>
          </w:tcPr>
          <w:p w:rsidR="00DD10B7" w:rsidRPr="0044196C" w:rsidRDefault="00DD10B7" w:rsidP="00DD10B7">
            <w:pPr>
              <w:ind w:firstLine="34"/>
              <w:rPr>
                <w:rFonts w:asciiTheme="minorHAnsi" w:hAnsiTheme="minorHAnsi"/>
                <w:b/>
                <w:color w:val="000000" w:themeColor="text1"/>
              </w:rPr>
            </w:pPr>
          </w:p>
          <w:p w:rsidR="00DD10B7" w:rsidRPr="0044196C" w:rsidRDefault="00DD10B7" w:rsidP="00DD10B7">
            <w:pPr>
              <w:ind w:firstLine="34"/>
              <w:rPr>
                <w:rFonts w:asciiTheme="minorHAnsi" w:hAnsiTheme="minorHAnsi"/>
                <w:b/>
                <w:color w:val="000000" w:themeColor="text1"/>
              </w:rPr>
            </w:pPr>
          </w:p>
          <w:p w:rsidR="00F21A10" w:rsidRPr="0044196C" w:rsidRDefault="00F21A10" w:rsidP="00DD10B7">
            <w:pPr>
              <w:ind w:firstLine="34"/>
              <w:rPr>
                <w:rFonts w:asciiTheme="minorHAnsi" w:hAnsiTheme="minorHAnsi"/>
                <w:b/>
                <w:color w:val="000000" w:themeColor="text1"/>
              </w:rPr>
            </w:pPr>
            <w:r w:rsidRPr="0044196C">
              <w:rPr>
                <w:rFonts w:asciiTheme="minorHAnsi" w:hAnsiTheme="minorHAnsi"/>
                <w:b/>
                <w:color w:val="000000" w:themeColor="text1"/>
              </w:rPr>
              <w:t>Уровень</w:t>
            </w:r>
          </w:p>
        </w:tc>
        <w:tc>
          <w:tcPr>
            <w:tcW w:w="7762" w:type="dxa"/>
            <w:gridSpan w:val="3"/>
            <w:tcBorders>
              <w:top w:val="nil"/>
              <w:left w:val="single" w:sz="4" w:space="0" w:color="FFFFFF" w:themeColor="background1"/>
              <w:bottom w:val="single" w:sz="4" w:space="0" w:color="FFFFFF" w:themeColor="background1"/>
              <w:right w:val="nil"/>
            </w:tcBorders>
            <w:shd w:val="clear" w:color="auto" w:fill="365F91" w:themeFill="accent1" w:themeFillShade="BF"/>
          </w:tcPr>
          <w:p w:rsidR="00F21A10" w:rsidRPr="0044196C" w:rsidRDefault="00F21A10" w:rsidP="00DD10B7">
            <w:pPr>
              <w:ind w:firstLine="34"/>
              <w:jc w:val="center"/>
              <w:rPr>
                <w:rFonts w:asciiTheme="minorHAnsi" w:hAnsiTheme="minorHAnsi"/>
                <w:b/>
                <w:color w:val="000000" w:themeColor="text1"/>
              </w:rPr>
            </w:pPr>
            <w:r w:rsidRPr="0044196C">
              <w:rPr>
                <w:rFonts w:asciiTheme="minorHAnsi" w:hAnsiTheme="minorHAnsi"/>
                <w:b/>
                <w:color w:val="000000" w:themeColor="text1"/>
              </w:rPr>
              <w:t>Оценка рекомендаций</w:t>
            </w:r>
          </w:p>
        </w:tc>
      </w:tr>
      <w:tr w:rsidR="00E819A2" w:rsidRPr="0044196C" w:rsidTr="009733DF">
        <w:trPr>
          <w:trHeight w:val="933"/>
        </w:trPr>
        <w:tc>
          <w:tcPr>
            <w:tcW w:w="1701" w:type="dxa"/>
            <w:vMerge/>
            <w:tcBorders>
              <w:top w:val="single" w:sz="4" w:space="0" w:color="FFFFFF" w:themeColor="background1"/>
              <w:left w:val="nil"/>
              <w:bottom w:val="single" w:sz="4" w:space="0" w:color="FFFFFF" w:themeColor="background1"/>
              <w:right w:val="single" w:sz="4" w:space="0" w:color="FFFFFF" w:themeColor="background1"/>
            </w:tcBorders>
            <w:shd w:val="clear" w:color="auto" w:fill="365F91" w:themeFill="accent1" w:themeFillShade="BF"/>
          </w:tcPr>
          <w:p w:rsidR="00F21A10" w:rsidRPr="0044196C" w:rsidRDefault="00F21A10" w:rsidP="00DD10B7">
            <w:pPr>
              <w:ind w:firstLine="34"/>
              <w:rPr>
                <w:rFonts w:asciiTheme="minorHAnsi" w:hAnsiTheme="minorHAnsi"/>
                <w:b/>
                <w:color w:val="000000" w:themeColor="text1"/>
              </w:rPr>
            </w:pPr>
          </w:p>
        </w:tc>
        <w:tc>
          <w:tcPr>
            <w:tcW w:w="2587"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F21A10" w:rsidRPr="0044196C" w:rsidRDefault="00F21A10" w:rsidP="009733DF">
            <w:pPr>
              <w:spacing w:line="240" w:lineRule="auto"/>
              <w:ind w:firstLine="34"/>
              <w:jc w:val="center"/>
              <w:rPr>
                <w:rFonts w:asciiTheme="minorHAnsi" w:hAnsiTheme="minorHAnsi"/>
                <w:b/>
                <w:color w:val="000000" w:themeColor="text1"/>
              </w:rPr>
            </w:pPr>
            <w:r w:rsidRPr="0044196C">
              <w:rPr>
                <w:rFonts w:asciiTheme="minorHAnsi" w:hAnsiTheme="minorHAnsi"/>
                <w:b/>
                <w:color w:val="000000" w:themeColor="text1"/>
              </w:rPr>
              <w:t>Со стороны пациентов</w:t>
            </w:r>
          </w:p>
        </w:tc>
        <w:tc>
          <w:tcPr>
            <w:tcW w:w="2516" w:type="dxa"/>
            <w:tcBorders>
              <w:top w:val="single" w:sz="4" w:space="0" w:color="FFFFFF" w:themeColor="background1"/>
              <w:left w:val="single" w:sz="4" w:space="0" w:color="FFFFFF" w:themeColor="background1"/>
              <w:bottom w:val="nil"/>
              <w:right w:val="single" w:sz="4" w:space="0" w:color="FFFFFF" w:themeColor="background1"/>
            </w:tcBorders>
            <w:shd w:val="clear" w:color="auto" w:fill="365F91" w:themeFill="accent1" w:themeFillShade="BF"/>
            <w:vAlign w:val="center"/>
          </w:tcPr>
          <w:p w:rsidR="00F21A10" w:rsidRPr="0044196C" w:rsidRDefault="00F21A10" w:rsidP="009733DF">
            <w:pPr>
              <w:spacing w:line="240" w:lineRule="auto"/>
              <w:ind w:firstLine="34"/>
              <w:jc w:val="center"/>
              <w:rPr>
                <w:rFonts w:asciiTheme="minorHAnsi" w:hAnsiTheme="minorHAnsi"/>
                <w:b/>
                <w:color w:val="000000" w:themeColor="text1"/>
              </w:rPr>
            </w:pPr>
            <w:r w:rsidRPr="0044196C">
              <w:rPr>
                <w:rFonts w:asciiTheme="minorHAnsi" w:hAnsiTheme="minorHAnsi"/>
                <w:b/>
                <w:color w:val="000000" w:themeColor="text1"/>
              </w:rPr>
              <w:t>Со стороны врача</w:t>
            </w:r>
          </w:p>
        </w:tc>
        <w:tc>
          <w:tcPr>
            <w:tcW w:w="2659" w:type="dxa"/>
            <w:tcBorders>
              <w:top w:val="single" w:sz="4" w:space="0" w:color="FFFFFF" w:themeColor="background1"/>
              <w:left w:val="single" w:sz="4" w:space="0" w:color="FFFFFF" w:themeColor="background1"/>
              <w:bottom w:val="nil"/>
              <w:right w:val="nil"/>
            </w:tcBorders>
            <w:shd w:val="clear" w:color="auto" w:fill="365F91" w:themeFill="accent1" w:themeFillShade="BF"/>
            <w:vAlign w:val="center"/>
          </w:tcPr>
          <w:p w:rsidR="00F21A10" w:rsidRPr="0044196C" w:rsidRDefault="00F21A10" w:rsidP="009733DF">
            <w:pPr>
              <w:spacing w:line="240" w:lineRule="auto"/>
              <w:ind w:firstLine="34"/>
              <w:jc w:val="center"/>
              <w:rPr>
                <w:rFonts w:asciiTheme="minorHAnsi" w:hAnsiTheme="minorHAnsi"/>
                <w:b/>
                <w:color w:val="000000" w:themeColor="text1"/>
              </w:rPr>
            </w:pPr>
            <w:r w:rsidRPr="0044196C">
              <w:rPr>
                <w:rFonts w:asciiTheme="minorHAnsi" w:hAnsiTheme="minorHAnsi"/>
                <w:b/>
                <w:color w:val="000000" w:themeColor="text1"/>
              </w:rPr>
              <w:t>Дальнейшее направление использования</w:t>
            </w:r>
          </w:p>
        </w:tc>
      </w:tr>
      <w:tr w:rsidR="00E819A2" w:rsidRPr="0044196C" w:rsidTr="00E819A2">
        <w:trPr>
          <w:trHeight w:val="2897"/>
        </w:trPr>
        <w:tc>
          <w:tcPr>
            <w:tcW w:w="1701" w:type="dxa"/>
            <w:tcBorders>
              <w:top w:val="single" w:sz="4" w:space="0" w:color="FFFFFF" w:themeColor="background1"/>
              <w:left w:val="nil"/>
              <w:bottom w:val="single" w:sz="4" w:space="0" w:color="FFFFFF" w:themeColor="background1"/>
              <w:right w:val="nil"/>
            </w:tcBorders>
            <w:shd w:val="clear" w:color="auto" w:fill="365F91" w:themeFill="accent1" w:themeFillShade="BF"/>
          </w:tcPr>
          <w:p w:rsidR="00F21A10" w:rsidRPr="0044196C" w:rsidRDefault="00F21A10" w:rsidP="00C52390">
            <w:pPr>
              <w:ind w:firstLine="34"/>
              <w:jc w:val="left"/>
              <w:rPr>
                <w:rFonts w:asciiTheme="minorHAnsi" w:hAnsiTheme="minorHAnsi"/>
                <w:b/>
                <w:color w:val="000000" w:themeColor="text1"/>
              </w:rPr>
            </w:pPr>
            <w:r w:rsidRPr="0044196C">
              <w:rPr>
                <w:rFonts w:asciiTheme="minorHAnsi" w:hAnsiTheme="minorHAnsi"/>
                <w:b/>
                <w:color w:val="000000" w:themeColor="text1"/>
              </w:rPr>
              <w:t>Уровень 1 «Эксперты рекомендуют»</w:t>
            </w:r>
          </w:p>
        </w:tc>
        <w:tc>
          <w:tcPr>
            <w:tcW w:w="2587" w:type="dxa"/>
            <w:tcBorders>
              <w:top w:val="nil"/>
              <w:left w:val="nil"/>
              <w:bottom w:val="single" w:sz="4" w:space="0" w:color="auto"/>
              <w:right w:val="single" w:sz="4" w:space="0" w:color="auto"/>
            </w:tcBorders>
            <w:shd w:val="clear" w:color="auto" w:fill="DBE5F1" w:themeFill="accent1" w:themeFillTint="33"/>
          </w:tcPr>
          <w:p w:rsidR="00F21A10" w:rsidRPr="0044196C" w:rsidRDefault="00F21A10" w:rsidP="00DD10B7">
            <w:pPr>
              <w:ind w:firstLine="34"/>
              <w:jc w:val="left"/>
              <w:rPr>
                <w:rFonts w:asciiTheme="minorHAnsi" w:hAnsiTheme="minorHAnsi"/>
                <w:color w:val="000000" w:themeColor="text1"/>
              </w:rPr>
            </w:pPr>
            <w:r w:rsidRPr="0044196C">
              <w:rPr>
                <w:rFonts w:asciiTheme="minorHAnsi" w:hAnsiTheme="minorHAnsi"/>
                <w:color w:val="000000" w:themeColor="text1"/>
                <w:sz w:val="22"/>
              </w:rPr>
              <w:t>Подавляющее большинство пациентов, оказавшихся в подобной ситуации, предпочли бы следовать рекомендуемым путем и лишь небольшая часть из них отвергли бы этот путь</w:t>
            </w:r>
          </w:p>
        </w:tc>
        <w:tc>
          <w:tcPr>
            <w:tcW w:w="2516" w:type="dxa"/>
            <w:tcBorders>
              <w:top w:val="nil"/>
              <w:left w:val="single" w:sz="4" w:space="0" w:color="auto"/>
              <w:bottom w:val="single" w:sz="4" w:space="0" w:color="auto"/>
              <w:right w:val="single" w:sz="4" w:space="0" w:color="auto"/>
            </w:tcBorders>
            <w:shd w:val="clear" w:color="auto" w:fill="DBE5F1" w:themeFill="accent1" w:themeFillTint="33"/>
          </w:tcPr>
          <w:p w:rsidR="00F21A10" w:rsidRPr="0044196C" w:rsidRDefault="00F21A10" w:rsidP="00DD10B7">
            <w:pPr>
              <w:ind w:firstLine="34"/>
              <w:jc w:val="left"/>
              <w:rPr>
                <w:rFonts w:asciiTheme="minorHAnsi" w:hAnsiTheme="minorHAnsi"/>
                <w:color w:val="000000" w:themeColor="text1"/>
              </w:rPr>
            </w:pPr>
            <w:r w:rsidRPr="0044196C">
              <w:rPr>
                <w:rFonts w:asciiTheme="minorHAnsi" w:hAnsiTheme="minorHAnsi"/>
                <w:color w:val="000000" w:themeColor="text1"/>
                <w:sz w:val="22"/>
              </w:rPr>
              <w:t>Подавляющему большинству своих пациентов врач будет рекомендовать следовать именно этим путем</w:t>
            </w:r>
          </w:p>
        </w:tc>
        <w:tc>
          <w:tcPr>
            <w:tcW w:w="2659" w:type="dxa"/>
            <w:tcBorders>
              <w:top w:val="nil"/>
              <w:left w:val="single" w:sz="4" w:space="0" w:color="auto"/>
              <w:bottom w:val="single" w:sz="4" w:space="0" w:color="auto"/>
              <w:right w:val="single" w:sz="4" w:space="0" w:color="auto"/>
            </w:tcBorders>
            <w:shd w:val="clear" w:color="auto" w:fill="DBE5F1" w:themeFill="accent1" w:themeFillTint="33"/>
          </w:tcPr>
          <w:p w:rsidR="00F21A10" w:rsidRPr="0044196C" w:rsidRDefault="00F21A10" w:rsidP="00DD10B7">
            <w:pPr>
              <w:ind w:firstLine="34"/>
              <w:jc w:val="left"/>
              <w:rPr>
                <w:rFonts w:asciiTheme="minorHAnsi" w:hAnsiTheme="minorHAnsi"/>
                <w:color w:val="000000" w:themeColor="text1"/>
              </w:rPr>
            </w:pPr>
            <w:r w:rsidRPr="0044196C">
              <w:rPr>
                <w:rFonts w:asciiTheme="minorHAnsi" w:hAnsiTheme="minorHAnsi"/>
                <w:color w:val="000000" w:themeColor="text1"/>
                <w:sz w:val="22"/>
              </w:rPr>
              <w:t>Рекомендация может быть принята в качестве стандарта действия медицинского персонала в большинстве клинических ситуаций</w:t>
            </w:r>
          </w:p>
        </w:tc>
      </w:tr>
      <w:tr w:rsidR="00F21A10" w:rsidRPr="0044196C" w:rsidTr="00E819A2">
        <w:tc>
          <w:tcPr>
            <w:tcW w:w="1701" w:type="dxa"/>
            <w:tcBorders>
              <w:top w:val="single" w:sz="4" w:space="0" w:color="FFFFFF" w:themeColor="background1"/>
              <w:left w:val="nil"/>
              <w:bottom w:val="single" w:sz="4" w:space="0" w:color="FFFFFF" w:themeColor="background1"/>
              <w:right w:val="nil"/>
            </w:tcBorders>
            <w:shd w:val="clear" w:color="auto" w:fill="365F91" w:themeFill="accent1" w:themeFillShade="BF"/>
          </w:tcPr>
          <w:p w:rsidR="00F21A10" w:rsidRPr="0044196C" w:rsidRDefault="00F21A10" w:rsidP="00DD10B7">
            <w:pPr>
              <w:ind w:firstLine="34"/>
              <w:rPr>
                <w:rFonts w:asciiTheme="minorHAnsi" w:hAnsiTheme="minorHAnsi"/>
                <w:b/>
                <w:color w:val="000000" w:themeColor="text1"/>
              </w:rPr>
            </w:pPr>
            <w:r w:rsidRPr="0044196C">
              <w:rPr>
                <w:rFonts w:asciiTheme="minorHAnsi" w:hAnsiTheme="minorHAnsi"/>
                <w:b/>
                <w:color w:val="000000" w:themeColor="text1"/>
              </w:rPr>
              <w:t>Уровень 2</w:t>
            </w:r>
          </w:p>
          <w:p w:rsidR="00F21A10" w:rsidRPr="0044196C" w:rsidRDefault="00F21A10" w:rsidP="00DD10B7">
            <w:pPr>
              <w:ind w:firstLine="34"/>
              <w:rPr>
                <w:rFonts w:asciiTheme="minorHAnsi" w:hAnsiTheme="minorHAnsi"/>
                <w:b/>
                <w:color w:val="000000" w:themeColor="text1"/>
              </w:rPr>
            </w:pPr>
            <w:r w:rsidRPr="0044196C">
              <w:rPr>
                <w:rFonts w:asciiTheme="minorHAnsi" w:hAnsiTheme="minorHAnsi"/>
                <w:b/>
                <w:color w:val="000000" w:themeColor="text1"/>
              </w:rPr>
              <w:t>«Эксперты полагают»</w:t>
            </w:r>
          </w:p>
        </w:tc>
        <w:tc>
          <w:tcPr>
            <w:tcW w:w="2587" w:type="dxa"/>
            <w:tcBorders>
              <w:top w:val="single" w:sz="4" w:space="0" w:color="auto"/>
              <w:left w:val="nil"/>
              <w:bottom w:val="single" w:sz="4" w:space="0" w:color="auto"/>
              <w:right w:val="single" w:sz="4" w:space="0" w:color="auto"/>
            </w:tcBorders>
            <w:shd w:val="clear" w:color="auto" w:fill="DBE5F1" w:themeFill="accent1" w:themeFillTint="33"/>
          </w:tcPr>
          <w:p w:rsidR="00F21A10" w:rsidRPr="0044196C" w:rsidRDefault="00F21A10" w:rsidP="00DD10B7">
            <w:pPr>
              <w:ind w:firstLine="34"/>
              <w:jc w:val="left"/>
              <w:rPr>
                <w:rFonts w:asciiTheme="minorHAnsi" w:hAnsiTheme="minorHAnsi"/>
                <w:color w:val="000000" w:themeColor="text1"/>
              </w:rPr>
            </w:pPr>
            <w:r w:rsidRPr="0044196C">
              <w:rPr>
                <w:rFonts w:asciiTheme="minorHAnsi" w:hAnsiTheme="minorHAnsi"/>
                <w:color w:val="000000" w:themeColor="text1"/>
                <w:sz w:val="22"/>
              </w:rPr>
              <w:t>Большая часть пациентов, оказавшихся в подобной ситуации, высказались бы за то, чтобы следовать рекомендуемым путем, однако значительная часть отвергла бы этот путь</w:t>
            </w:r>
          </w:p>
        </w:tc>
        <w:tc>
          <w:tcPr>
            <w:tcW w:w="25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1A10" w:rsidRPr="0044196C" w:rsidRDefault="00F21A10" w:rsidP="00DD10B7">
            <w:pPr>
              <w:ind w:firstLine="34"/>
              <w:jc w:val="left"/>
              <w:rPr>
                <w:rFonts w:asciiTheme="minorHAnsi" w:hAnsiTheme="minorHAnsi"/>
                <w:color w:val="000000" w:themeColor="text1"/>
              </w:rPr>
            </w:pPr>
            <w:r w:rsidRPr="0044196C">
              <w:rPr>
                <w:rFonts w:asciiTheme="minorHAnsi" w:hAnsiTheme="minorHAnsi"/>
                <w:color w:val="000000" w:themeColor="text1"/>
                <w:sz w:val="22"/>
              </w:rPr>
              <w:t>Для разных пациентов следует подбирать различные варианты рекомендаций, подходящие именно им. Каждому пациенту необходима помощь в выборе и принятии решения, которое будет соответствовать ценностям и предпочтениям данного пациента</w:t>
            </w:r>
          </w:p>
        </w:tc>
        <w:tc>
          <w:tcPr>
            <w:tcW w:w="26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1A10" w:rsidRPr="0044196C" w:rsidRDefault="00F21A10" w:rsidP="00DD10B7">
            <w:pPr>
              <w:ind w:firstLine="34"/>
              <w:jc w:val="left"/>
              <w:rPr>
                <w:rFonts w:asciiTheme="minorHAnsi" w:hAnsiTheme="minorHAnsi"/>
                <w:color w:val="000000" w:themeColor="text1"/>
              </w:rPr>
            </w:pPr>
            <w:r w:rsidRPr="0044196C">
              <w:rPr>
                <w:rFonts w:asciiTheme="minorHAnsi" w:hAnsiTheme="minorHAnsi"/>
                <w:color w:val="000000" w:themeColor="text1"/>
                <w:sz w:val="22"/>
              </w:rPr>
              <w:t>Рекомендации, вероятно, потребуют обсуждения с участием всех заинтересованных сторон до принятия их в качестве клинического стандарта</w:t>
            </w:r>
          </w:p>
          <w:p w:rsidR="00F21A10" w:rsidRPr="0044196C" w:rsidRDefault="00F21A10" w:rsidP="00DD10B7">
            <w:pPr>
              <w:ind w:firstLine="34"/>
              <w:jc w:val="left"/>
              <w:rPr>
                <w:rFonts w:asciiTheme="minorHAnsi" w:hAnsiTheme="minorHAnsi"/>
                <w:color w:val="000000" w:themeColor="text1"/>
              </w:rPr>
            </w:pPr>
          </w:p>
        </w:tc>
      </w:tr>
      <w:tr w:rsidR="00F21A10" w:rsidRPr="0044196C" w:rsidTr="00E819A2">
        <w:tc>
          <w:tcPr>
            <w:tcW w:w="1701" w:type="dxa"/>
            <w:tcBorders>
              <w:top w:val="single" w:sz="4" w:space="0" w:color="FFFFFF" w:themeColor="background1"/>
              <w:left w:val="nil"/>
              <w:bottom w:val="nil"/>
              <w:right w:val="nil"/>
            </w:tcBorders>
            <w:shd w:val="clear" w:color="auto" w:fill="365F91" w:themeFill="accent1" w:themeFillShade="BF"/>
          </w:tcPr>
          <w:p w:rsidR="00F21A10" w:rsidRPr="0044196C" w:rsidRDefault="00F21A10" w:rsidP="00DD10B7">
            <w:pPr>
              <w:ind w:firstLine="34"/>
              <w:rPr>
                <w:rFonts w:asciiTheme="minorHAnsi" w:hAnsiTheme="minorHAnsi"/>
                <w:b/>
                <w:color w:val="000000" w:themeColor="text1"/>
              </w:rPr>
            </w:pPr>
            <w:r w:rsidRPr="0044196C">
              <w:rPr>
                <w:rFonts w:asciiTheme="minorHAnsi" w:hAnsiTheme="minorHAnsi"/>
                <w:b/>
                <w:color w:val="000000" w:themeColor="text1"/>
              </w:rPr>
              <w:t>«Нет градации»</w:t>
            </w:r>
          </w:p>
          <w:p w:rsidR="00F21A10" w:rsidRPr="0044196C" w:rsidRDefault="00F21A10" w:rsidP="00DD10B7">
            <w:pPr>
              <w:ind w:firstLine="34"/>
              <w:rPr>
                <w:rFonts w:asciiTheme="minorHAnsi" w:hAnsiTheme="minorHAnsi"/>
                <w:b/>
                <w:color w:val="000000" w:themeColor="text1"/>
              </w:rPr>
            </w:pPr>
            <w:r w:rsidRPr="0044196C">
              <w:rPr>
                <w:rFonts w:asciiTheme="minorHAnsi" w:hAnsiTheme="minorHAnsi"/>
                <w:b/>
                <w:color w:val="000000" w:themeColor="text1"/>
              </w:rPr>
              <w:t>(НГ)</w:t>
            </w:r>
          </w:p>
          <w:p w:rsidR="00F21A10" w:rsidRPr="0044196C" w:rsidRDefault="00F21A10" w:rsidP="00DD10B7">
            <w:pPr>
              <w:ind w:firstLine="34"/>
              <w:rPr>
                <w:rFonts w:asciiTheme="minorHAnsi" w:hAnsiTheme="minorHAnsi"/>
                <w:b/>
                <w:color w:val="000000" w:themeColor="text1"/>
              </w:rPr>
            </w:pPr>
          </w:p>
        </w:tc>
        <w:tc>
          <w:tcPr>
            <w:tcW w:w="7762" w:type="dxa"/>
            <w:gridSpan w:val="3"/>
            <w:tcBorders>
              <w:top w:val="single" w:sz="4" w:space="0" w:color="auto"/>
              <w:left w:val="nil"/>
              <w:bottom w:val="single" w:sz="4" w:space="0" w:color="auto"/>
              <w:right w:val="single" w:sz="4" w:space="0" w:color="auto"/>
            </w:tcBorders>
            <w:shd w:val="clear" w:color="auto" w:fill="DBE5F1" w:themeFill="accent1" w:themeFillTint="33"/>
          </w:tcPr>
          <w:p w:rsidR="00F21A10" w:rsidRPr="0044196C" w:rsidRDefault="00F21A10" w:rsidP="00DD10B7">
            <w:pPr>
              <w:ind w:firstLine="34"/>
              <w:jc w:val="left"/>
              <w:rPr>
                <w:rFonts w:asciiTheme="minorHAnsi" w:hAnsiTheme="minorHAnsi"/>
                <w:color w:val="000000" w:themeColor="text1"/>
              </w:rPr>
            </w:pPr>
            <w:r w:rsidRPr="0044196C">
              <w:rPr>
                <w:rFonts w:asciiTheme="minorHAnsi" w:hAnsiTheme="minorHAnsi"/>
                <w:color w:val="000000" w:themeColor="text1"/>
                <w:sz w:val="22"/>
              </w:rPr>
              <w:t>Данный уровень применяется в тех случаях, когда в основу рекомендации укладывается здравый смысл исследователя-эксперта или тогда, когда обсуждаемая тема не допускает адекватного применения системы доказательств, используемых в клинической практике.</w:t>
            </w:r>
          </w:p>
        </w:tc>
      </w:tr>
    </w:tbl>
    <w:p w:rsidR="00F21A10" w:rsidRPr="0044196C" w:rsidRDefault="00F21A10" w:rsidP="00DD10B7">
      <w:pPr>
        <w:pStyle w:val="af3"/>
        <w:rPr>
          <w:color w:val="000000" w:themeColor="text1"/>
          <w:sz w:val="12"/>
        </w:rPr>
      </w:pPr>
    </w:p>
    <w:p w:rsidR="00D30C45" w:rsidRPr="0044196C" w:rsidRDefault="00C52390">
      <w:pPr>
        <w:spacing w:before="0" w:after="200"/>
        <w:ind w:firstLine="0"/>
        <w:jc w:val="left"/>
        <w:rPr>
          <w:color w:val="000000" w:themeColor="text1"/>
        </w:rPr>
      </w:pPr>
      <w:bookmarkStart w:id="9" w:name="_Ref374109566"/>
      <w:r w:rsidRPr="0044196C">
        <w:rPr>
          <w:color w:val="000000" w:themeColor="text1"/>
        </w:rPr>
        <w:br w:type="page"/>
      </w:r>
    </w:p>
    <w:p w:rsidR="00D30C45" w:rsidRPr="0044196C" w:rsidRDefault="00D30C45" w:rsidP="00D30C45">
      <w:pPr>
        <w:pStyle w:val="af4"/>
        <w:rPr>
          <w:color w:val="000000" w:themeColor="text1"/>
        </w:rPr>
      </w:pPr>
      <w:bookmarkStart w:id="10" w:name="_Ref278208812"/>
      <w:r w:rsidRPr="0044196C">
        <w:rPr>
          <w:color w:val="000000" w:themeColor="text1"/>
        </w:rPr>
        <w:lastRenderedPageBreak/>
        <w:t xml:space="preserve">Таблица </w:t>
      </w:r>
      <w:r w:rsidR="009D7C63" w:rsidRPr="0044196C">
        <w:rPr>
          <w:color w:val="000000" w:themeColor="text1"/>
        </w:rPr>
        <w:fldChar w:fldCharType="begin"/>
      </w:r>
      <w:r w:rsidR="009D7C63" w:rsidRPr="0044196C">
        <w:rPr>
          <w:color w:val="000000" w:themeColor="text1"/>
        </w:rPr>
        <w:instrText xml:space="preserve"> SEQ Таблица \* ARABIC </w:instrText>
      </w:r>
      <w:r w:rsidR="009D7C63" w:rsidRPr="0044196C">
        <w:rPr>
          <w:color w:val="000000" w:themeColor="text1"/>
        </w:rPr>
        <w:fldChar w:fldCharType="separate"/>
      </w:r>
      <w:r w:rsidR="00DF40EA" w:rsidRPr="0044196C">
        <w:rPr>
          <w:noProof/>
          <w:color w:val="000000" w:themeColor="text1"/>
        </w:rPr>
        <w:t>2</w:t>
      </w:r>
      <w:r w:rsidR="009D7C63" w:rsidRPr="0044196C">
        <w:rPr>
          <w:color w:val="000000" w:themeColor="text1"/>
        </w:rPr>
        <w:fldChar w:fldCharType="end"/>
      </w:r>
      <w:bookmarkEnd w:id="10"/>
    </w:p>
    <w:p w:rsidR="00D30C45" w:rsidRPr="0044196C" w:rsidRDefault="00D30C45" w:rsidP="00D30C45">
      <w:pPr>
        <w:pStyle w:val="af4"/>
        <w:rPr>
          <w:color w:val="000000" w:themeColor="text1"/>
          <w:szCs w:val="24"/>
        </w:rPr>
      </w:pPr>
      <w:r w:rsidRPr="0044196C">
        <w:rPr>
          <w:color w:val="000000" w:themeColor="text1"/>
        </w:rPr>
        <w:t>Оценка качества доказательной базы</w:t>
      </w:r>
    </w:p>
    <w:p w:rsidR="00D30C45" w:rsidRPr="0044196C" w:rsidRDefault="00D30C45" w:rsidP="00D30C45">
      <w:pPr>
        <w:pStyle w:val="af3"/>
        <w:rPr>
          <w:color w:val="000000" w:themeColor="text1"/>
          <w:sz w:val="12"/>
        </w:rPr>
      </w:pPr>
    </w:p>
    <w:tbl>
      <w:tblPr>
        <w:tblW w:w="0" w:type="auto"/>
        <w:tblLook w:val="04A0"/>
      </w:tblPr>
      <w:tblGrid>
        <w:gridCol w:w="3652"/>
        <w:gridCol w:w="5919"/>
      </w:tblGrid>
      <w:tr w:rsidR="00D30C45" w:rsidRPr="0044196C" w:rsidTr="00D30C45">
        <w:trPr>
          <w:trHeight w:val="727"/>
        </w:trPr>
        <w:tc>
          <w:tcPr>
            <w:tcW w:w="3652" w:type="dxa"/>
            <w:tcBorders>
              <w:top w:val="single" w:sz="4" w:space="0" w:color="auto"/>
              <w:left w:val="single" w:sz="4" w:space="0" w:color="auto"/>
              <w:right w:val="single" w:sz="4" w:space="0" w:color="FFFFFF" w:themeColor="background1"/>
            </w:tcBorders>
            <w:shd w:val="clear" w:color="auto" w:fill="365F91" w:themeFill="accent1" w:themeFillShade="BF"/>
          </w:tcPr>
          <w:p w:rsidR="00D30C45" w:rsidRPr="0044196C" w:rsidRDefault="00D30C45" w:rsidP="00D30C45">
            <w:pPr>
              <w:ind w:firstLine="0"/>
              <w:rPr>
                <w:rFonts w:asciiTheme="minorHAnsi" w:hAnsiTheme="minorHAnsi"/>
                <w:b/>
                <w:color w:val="000000" w:themeColor="text1"/>
                <w:kern w:val="3"/>
                <w:sz w:val="26"/>
                <w:szCs w:val="26"/>
              </w:rPr>
            </w:pPr>
            <w:r w:rsidRPr="0044196C">
              <w:rPr>
                <w:rFonts w:asciiTheme="minorHAnsi" w:hAnsiTheme="minorHAnsi"/>
                <w:b/>
                <w:color w:val="000000" w:themeColor="text1"/>
                <w:kern w:val="3"/>
                <w:sz w:val="26"/>
                <w:szCs w:val="26"/>
              </w:rPr>
              <w:t>Качество доказательной базы</w:t>
            </w:r>
          </w:p>
          <w:p w:rsidR="00D30C45" w:rsidRPr="0044196C" w:rsidRDefault="00D30C45" w:rsidP="00D30C45">
            <w:pPr>
              <w:rPr>
                <w:rFonts w:asciiTheme="minorHAnsi" w:hAnsiTheme="minorHAnsi"/>
                <w:b/>
                <w:color w:val="000000" w:themeColor="text1"/>
                <w:kern w:val="3"/>
                <w:sz w:val="26"/>
                <w:szCs w:val="26"/>
              </w:rPr>
            </w:pPr>
          </w:p>
        </w:tc>
        <w:tc>
          <w:tcPr>
            <w:tcW w:w="5919" w:type="dxa"/>
            <w:tcBorders>
              <w:top w:val="single" w:sz="4" w:space="0" w:color="auto"/>
              <w:left w:val="single" w:sz="4" w:space="0" w:color="FFFFFF" w:themeColor="background1"/>
              <w:right w:val="single" w:sz="4" w:space="0" w:color="auto"/>
            </w:tcBorders>
            <w:shd w:val="clear" w:color="auto" w:fill="365F91" w:themeFill="accent1" w:themeFillShade="BF"/>
          </w:tcPr>
          <w:p w:rsidR="00D30C45" w:rsidRPr="0044196C" w:rsidRDefault="00D30C45" w:rsidP="00D30C45">
            <w:pPr>
              <w:ind w:firstLine="34"/>
              <w:jc w:val="center"/>
              <w:rPr>
                <w:rFonts w:asciiTheme="minorHAnsi" w:hAnsiTheme="minorHAnsi"/>
                <w:b/>
                <w:color w:val="000000" w:themeColor="text1"/>
                <w:kern w:val="3"/>
                <w:sz w:val="26"/>
                <w:szCs w:val="26"/>
              </w:rPr>
            </w:pPr>
            <w:r w:rsidRPr="0044196C">
              <w:rPr>
                <w:rFonts w:asciiTheme="minorHAnsi" w:hAnsiTheme="minorHAnsi"/>
                <w:b/>
                <w:color w:val="000000" w:themeColor="text1"/>
                <w:kern w:val="3"/>
                <w:sz w:val="26"/>
                <w:szCs w:val="26"/>
              </w:rPr>
              <w:t>Значение</w:t>
            </w:r>
          </w:p>
        </w:tc>
      </w:tr>
      <w:tr w:rsidR="00D30C45" w:rsidRPr="0044196C" w:rsidTr="00D30C45">
        <w:tc>
          <w:tcPr>
            <w:tcW w:w="3652" w:type="dxa"/>
            <w:shd w:val="clear" w:color="auto" w:fill="DBE5F1" w:themeFill="accent1" w:themeFillTint="33"/>
          </w:tcPr>
          <w:p w:rsidR="00D30C45" w:rsidRPr="0044196C" w:rsidRDefault="00D30C45" w:rsidP="00D30C45">
            <w:pPr>
              <w:suppressAutoHyphens/>
              <w:autoSpaceDN w:val="0"/>
              <w:textAlignment w:val="baseline"/>
              <w:rPr>
                <w:rFonts w:asciiTheme="minorHAnsi" w:hAnsiTheme="minorHAnsi"/>
                <w:b/>
                <w:color w:val="000000" w:themeColor="text1"/>
                <w:kern w:val="3"/>
              </w:rPr>
            </w:pPr>
            <w:r w:rsidRPr="0044196C">
              <w:rPr>
                <w:rFonts w:asciiTheme="minorHAnsi" w:hAnsiTheme="minorHAnsi"/>
                <w:b/>
                <w:color w:val="000000" w:themeColor="text1"/>
                <w:kern w:val="3"/>
              </w:rPr>
              <w:t>А – высокое</w:t>
            </w:r>
          </w:p>
          <w:p w:rsidR="00D30C45" w:rsidRPr="0044196C" w:rsidRDefault="00D30C45" w:rsidP="00D30C45">
            <w:pPr>
              <w:suppressAutoHyphens/>
              <w:autoSpaceDN w:val="0"/>
              <w:textAlignment w:val="baseline"/>
              <w:rPr>
                <w:rFonts w:asciiTheme="minorHAnsi" w:hAnsiTheme="minorHAnsi"/>
                <w:color w:val="000000" w:themeColor="text1"/>
                <w:kern w:val="3"/>
              </w:rPr>
            </w:pPr>
          </w:p>
        </w:tc>
        <w:tc>
          <w:tcPr>
            <w:tcW w:w="5919" w:type="dxa"/>
            <w:shd w:val="clear" w:color="auto" w:fill="DBE5F1" w:themeFill="accent1" w:themeFillTint="33"/>
          </w:tcPr>
          <w:p w:rsidR="00D30C45" w:rsidRPr="0044196C" w:rsidRDefault="00D30C45" w:rsidP="00D30C45">
            <w:pPr>
              <w:suppressAutoHyphens/>
              <w:autoSpaceDN w:val="0"/>
              <w:ind w:firstLine="34"/>
              <w:jc w:val="left"/>
              <w:textAlignment w:val="baseline"/>
              <w:rPr>
                <w:rFonts w:asciiTheme="minorHAnsi" w:hAnsiTheme="minorHAnsi"/>
                <w:b/>
                <w:color w:val="000000" w:themeColor="text1"/>
                <w:kern w:val="3"/>
              </w:rPr>
            </w:pPr>
            <w:r w:rsidRPr="0044196C">
              <w:rPr>
                <w:rFonts w:asciiTheme="minorHAnsi" w:hAnsiTheme="minorHAnsi"/>
                <w:color w:val="000000" w:themeColor="text1"/>
                <w:kern w:val="3"/>
              </w:rPr>
              <w:t>Эксперты уверены, что ожидаемый эффект близок к рассчитываемому</w:t>
            </w:r>
          </w:p>
        </w:tc>
      </w:tr>
      <w:tr w:rsidR="00D30C45" w:rsidRPr="0044196C" w:rsidTr="00D30C45">
        <w:tc>
          <w:tcPr>
            <w:tcW w:w="3652" w:type="dxa"/>
            <w:shd w:val="clear" w:color="auto" w:fill="DBE5F1" w:themeFill="accent1" w:themeFillTint="33"/>
          </w:tcPr>
          <w:p w:rsidR="00D30C45" w:rsidRPr="0044196C" w:rsidRDefault="00D30C45" w:rsidP="00D30C45">
            <w:pPr>
              <w:suppressAutoHyphens/>
              <w:autoSpaceDN w:val="0"/>
              <w:textAlignment w:val="baseline"/>
              <w:rPr>
                <w:rFonts w:asciiTheme="minorHAnsi" w:hAnsiTheme="minorHAnsi"/>
                <w:b/>
                <w:color w:val="000000" w:themeColor="text1"/>
                <w:kern w:val="3"/>
              </w:rPr>
            </w:pPr>
            <w:r w:rsidRPr="0044196C">
              <w:rPr>
                <w:rFonts w:asciiTheme="minorHAnsi" w:hAnsiTheme="minorHAnsi"/>
                <w:b/>
                <w:color w:val="000000" w:themeColor="text1"/>
                <w:kern w:val="3"/>
              </w:rPr>
              <w:t>В - среднее</w:t>
            </w:r>
          </w:p>
          <w:p w:rsidR="00D30C45" w:rsidRPr="0044196C" w:rsidRDefault="00D30C45" w:rsidP="00D30C45">
            <w:pPr>
              <w:suppressAutoHyphens/>
              <w:autoSpaceDN w:val="0"/>
              <w:textAlignment w:val="baseline"/>
              <w:rPr>
                <w:rFonts w:asciiTheme="minorHAnsi" w:hAnsiTheme="minorHAnsi"/>
                <w:color w:val="000000" w:themeColor="text1"/>
                <w:kern w:val="3"/>
              </w:rPr>
            </w:pPr>
          </w:p>
        </w:tc>
        <w:tc>
          <w:tcPr>
            <w:tcW w:w="5919" w:type="dxa"/>
            <w:shd w:val="clear" w:color="auto" w:fill="DBE5F1" w:themeFill="accent1" w:themeFillTint="33"/>
          </w:tcPr>
          <w:p w:rsidR="00D30C45" w:rsidRPr="0044196C" w:rsidRDefault="00D30C45" w:rsidP="00D30C45">
            <w:pPr>
              <w:suppressAutoHyphens/>
              <w:autoSpaceDN w:val="0"/>
              <w:ind w:firstLine="34"/>
              <w:jc w:val="left"/>
              <w:textAlignment w:val="baseline"/>
              <w:rPr>
                <w:rFonts w:asciiTheme="minorHAnsi" w:hAnsiTheme="minorHAnsi"/>
                <w:b/>
                <w:color w:val="000000" w:themeColor="text1"/>
                <w:kern w:val="3"/>
              </w:rPr>
            </w:pPr>
            <w:r w:rsidRPr="0044196C">
              <w:rPr>
                <w:rFonts w:asciiTheme="minorHAnsi" w:hAnsiTheme="minorHAnsi"/>
                <w:color w:val="000000" w:themeColor="text1"/>
                <w:kern w:val="3"/>
              </w:rPr>
              <w:t>Эксперты полагают, что ожидаемый эффект близок к рассчитываемому эффекту, но может и существенно отличаться</w:t>
            </w:r>
          </w:p>
        </w:tc>
      </w:tr>
      <w:tr w:rsidR="00D30C45" w:rsidRPr="0044196C" w:rsidTr="00D30C45">
        <w:tc>
          <w:tcPr>
            <w:tcW w:w="3652" w:type="dxa"/>
            <w:shd w:val="clear" w:color="auto" w:fill="DBE5F1" w:themeFill="accent1" w:themeFillTint="33"/>
          </w:tcPr>
          <w:p w:rsidR="00D30C45" w:rsidRPr="0044196C" w:rsidRDefault="00D30C45" w:rsidP="00D30C45">
            <w:pPr>
              <w:suppressAutoHyphens/>
              <w:autoSpaceDN w:val="0"/>
              <w:textAlignment w:val="baseline"/>
              <w:rPr>
                <w:rFonts w:asciiTheme="minorHAnsi" w:hAnsiTheme="minorHAnsi"/>
                <w:b/>
                <w:color w:val="000000" w:themeColor="text1"/>
                <w:kern w:val="3"/>
              </w:rPr>
            </w:pPr>
            <w:r w:rsidRPr="0044196C">
              <w:rPr>
                <w:rFonts w:asciiTheme="minorHAnsi" w:hAnsiTheme="minorHAnsi"/>
                <w:b/>
                <w:color w:val="000000" w:themeColor="text1"/>
                <w:kern w:val="3"/>
              </w:rPr>
              <w:t>С – низкое</w:t>
            </w:r>
          </w:p>
          <w:p w:rsidR="00D30C45" w:rsidRPr="0044196C" w:rsidRDefault="00D30C45" w:rsidP="00D30C45">
            <w:pPr>
              <w:suppressAutoHyphens/>
              <w:autoSpaceDN w:val="0"/>
              <w:textAlignment w:val="baseline"/>
              <w:rPr>
                <w:rFonts w:asciiTheme="minorHAnsi" w:hAnsiTheme="minorHAnsi"/>
                <w:color w:val="000000" w:themeColor="text1"/>
                <w:kern w:val="3"/>
              </w:rPr>
            </w:pPr>
          </w:p>
        </w:tc>
        <w:tc>
          <w:tcPr>
            <w:tcW w:w="5919" w:type="dxa"/>
            <w:shd w:val="clear" w:color="auto" w:fill="DBE5F1" w:themeFill="accent1" w:themeFillTint="33"/>
          </w:tcPr>
          <w:p w:rsidR="00D30C45" w:rsidRPr="0044196C" w:rsidRDefault="00D30C45" w:rsidP="00D30C45">
            <w:pPr>
              <w:suppressAutoHyphens/>
              <w:autoSpaceDN w:val="0"/>
              <w:ind w:firstLine="34"/>
              <w:jc w:val="left"/>
              <w:textAlignment w:val="baseline"/>
              <w:rPr>
                <w:rFonts w:asciiTheme="minorHAnsi" w:hAnsiTheme="minorHAnsi"/>
                <w:b/>
                <w:color w:val="000000" w:themeColor="text1"/>
                <w:kern w:val="3"/>
              </w:rPr>
            </w:pPr>
            <w:r w:rsidRPr="0044196C">
              <w:rPr>
                <w:rFonts w:asciiTheme="minorHAnsi" w:hAnsiTheme="minorHAnsi"/>
                <w:color w:val="000000" w:themeColor="text1"/>
                <w:kern w:val="3"/>
              </w:rPr>
              <w:t>Ожидаемый эффект может существенно отличаться от рассчитываемого эффекта</w:t>
            </w:r>
          </w:p>
        </w:tc>
      </w:tr>
      <w:tr w:rsidR="00D30C45" w:rsidRPr="0044196C" w:rsidTr="00D30C45">
        <w:tc>
          <w:tcPr>
            <w:tcW w:w="3652" w:type="dxa"/>
            <w:shd w:val="clear" w:color="auto" w:fill="DBE5F1" w:themeFill="accent1" w:themeFillTint="33"/>
          </w:tcPr>
          <w:p w:rsidR="00D30C45" w:rsidRPr="0044196C" w:rsidRDefault="00D30C45" w:rsidP="00D30C45">
            <w:pPr>
              <w:suppressAutoHyphens/>
              <w:autoSpaceDN w:val="0"/>
              <w:textAlignment w:val="baseline"/>
              <w:rPr>
                <w:rFonts w:asciiTheme="minorHAnsi" w:hAnsiTheme="minorHAnsi"/>
                <w:b/>
                <w:color w:val="000000" w:themeColor="text1"/>
                <w:kern w:val="3"/>
              </w:rPr>
            </w:pPr>
            <w:r w:rsidRPr="0044196C">
              <w:rPr>
                <w:rFonts w:asciiTheme="minorHAnsi" w:hAnsiTheme="minorHAnsi"/>
                <w:b/>
                <w:color w:val="000000" w:themeColor="text1"/>
                <w:kern w:val="3"/>
                <w:lang w:val="en-US"/>
              </w:rPr>
              <w:t>D</w:t>
            </w:r>
            <w:r w:rsidRPr="0044196C">
              <w:rPr>
                <w:rFonts w:asciiTheme="minorHAnsi" w:hAnsiTheme="minorHAnsi"/>
                <w:b/>
                <w:color w:val="000000" w:themeColor="text1"/>
                <w:kern w:val="3"/>
              </w:rPr>
              <w:t xml:space="preserve"> – очень низкое</w:t>
            </w:r>
          </w:p>
          <w:p w:rsidR="00D30C45" w:rsidRPr="0044196C" w:rsidRDefault="00D30C45" w:rsidP="00D30C45">
            <w:pPr>
              <w:suppressAutoHyphens/>
              <w:autoSpaceDN w:val="0"/>
              <w:textAlignment w:val="baseline"/>
              <w:rPr>
                <w:rFonts w:asciiTheme="minorHAnsi" w:hAnsiTheme="minorHAnsi"/>
                <w:color w:val="000000" w:themeColor="text1"/>
                <w:kern w:val="3"/>
              </w:rPr>
            </w:pPr>
          </w:p>
        </w:tc>
        <w:tc>
          <w:tcPr>
            <w:tcW w:w="5919" w:type="dxa"/>
            <w:shd w:val="clear" w:color="auto" w:fill="DBE5F1" w:themeFill="accent1" w:themeFillTint="33"/>
          </w:tcPr>
          <w:p w:rsidR="00D30C45" w:rsidRPr="0044196C" w:rsidRDefault="00D30C45" w:rsidP="00D30C45">
            <w:pPr>
              <w:suppressAutoHyphens/>
              <w:autoSpaceDN w:val="0"/>
              <w:ind w:firstLine="34"/>
              <w:jc w:val="left"/>
              <w:textAlignment w:val="baseline"/>
              <w:rPr>
                <w:rFonts w:asciiTheme="minorHAnsi" w:hAnsiTheme="minorHAnsi"/>
                <w:b/>
                <w:color w:val="000000" w:themeColor="text1"/>
                <w:kern w:val="3"/>
              </w:rPr>
            </w:pPr>
            <w:r w:rsidRPr="0044196C">
              <w:rPr>
                <w:rFonts w:asciiTheme="minorHAnsi" w:hAnsiTheme="minorHAnsi"/>
                <w:color w:val="000000" w:themeColor="text1"/>
                <w:kern w:val="3"/>
              </w:rPr>
              <w:t>Ожидаемый эффект очень неопределенный и может быть весьма далек от рассчитываемого</w:t>
            </w:r>
          </w:p>
        </w:tc>
      </w:tr>
    </w:tbl>
    <w:p w:rsidR="00D30C45" w:rsidRPr="0044196C" w:rsidRDefault="00D30C45" w:rsidP="00D30C45">
      <w:pPr>
        <w:pStyle w:val="a6"/>
        <w:suppressAutoHyphens/>
        <w:autoSpaceDN w:val="0"/>
        <w:spacing w:line="240" w:lineRule="auto"/>
        <w:ind w:left="0"/>
        <w:textAlignment w:val="baseline"/>
        <w:rPr>
          <w:rFonts w:ascii="Arial" w:hAnsi="Arial" w:cs="Arial"/>
          <w:color w:val="000000" w:themeColor="text1"/>
          <w:szCs w:val="24"/>
        </w:rPr>
      </w:pPr>
    </w:p>
    <w:p w:rsidR="00D30C45" w:rsidRPr="0044196C" w:rsidRDefault="00D30C45" w:rsidP="00D30C45">
      <w:pPr>
        <w:pStyle w:val="a6"/>
        <w:suppressAutoHyphens/>
        <w:autoSpaceDN w:val="0"/>
        <w:spacing w:line="240" w:lineRule="auto"/>
        <w:ind w:left="360" w:firstLine="0"/>
        <w:textAlignment w:val="baseline"/>
        <w:rPr>
          <w:color w:val="000000" w:themeColor="text1"/>
          <w:kern w:val="3"/>
          <w:szCs w:val="20"/>
        </w:rPr>
      </w:pPr>
      <w:r w:rsidRPr="0044196C">
        <w:rPr>
          <w:b/>
          <w:color w:val="000000" w:themeColor="text1"/>
          <w:kern w:val="3"/>
          <w:szCs w:val="20"/>
        </w:rPr>
        <w:t>Методы, используемые для формулировки рекомендаций:</w:t>
      </w:r>
      <w:r w:rsidR="00B971C6" w:rsidRPr="0044196C">
        <w:rPr>
          <w:b/>
          <w:color w:val="000000" w:themeColor="text1"/>
          <w:kern w:val="3"/>
          <w:szCs w:val="20"/>
        </w:rPr>
        <w:t xml:space="preserve"> </w:t>
      </w:r>
      <w:r w:rsidRPr="0044196C">
        <w:rPr>
          <w:color w:val="000000" w:themeColor="text1"/>
          <w:kern w:val="3"/>
          <w:szCs w:val="20"/>
        </w:rPr>
        <w:t>Консенсус экспертов</w:t>
      </w:r>
    </w:p>
    <w:p w:rsidR="00D30C45" w:rsidRPr="0044196C" w:rsidRDefault="00D30C45" w:rsidP="00D30C45">
      <w:pPr>
        <w:suppressAutoHyphens/>
        <w:autoSpaceDN w:val="0"/>
        <w:spacing w:line="360" w:lineRule="auto"/>
        <w:textAlignment w:val="baseline"/>
        <w:rPr>
          <w:b/>
          <w:color w:val="000000" w:themeColor="text1"/>
          <w:kern w:val="3"/>
          <w:sz w:val="16"/>
          <w:szCs w:val="16"/>
        </w:rPr>
      </w:pPr>
    </w:p>
    <w:p w:rsidR="00D30C45" w:rsidRPr="0044196C" w:rsidRDefault="00D30C45">
      <w:pPr>
        <w:spacing w:before="0" w:after="200"/>
        <w:ind w:firstLine="0"/>
        <w:jc w:val="left"/>
        <w:rPr>
          <w:color w:val="000000" w:themeColor="text1"/>
        </w:rPr>
      </w:pPr>
    </w:p>
    <w:bookmarkEnd w:id="9"/>
    <w:p w:rsidR="00F21A10" w:rsidRPr="0044196C" w:rsidRDefault="00F21A10">
      <w:pPr>
        <w:rPr>
          <w:color w:val="000000" w:themeColor="text1"/>
        </w:rPr>
      </w:pPr>
      <w:r w:rsidRPr="0044196C">
        <w:rPr>
          <w:color w:val="000000" w:themeColor="text1"/>
        </w:rPr>
        <w:br w:type="page"/>
      </w:r>
    </w:p>
    <w:p w:rsidR="00F21A10" w:rsidRPr="0044196C" w:rsidRDefault="00F60756" w:rsidP="00622DC7">
      <w:pPr>
        <w:pStyle w:val="10"/>
        <w:numPr>
          <w:ilvl w:val="0"/>
          <w:numId w:val="3"/>
        </w:numPr>
        <w:rPr>
          <w:color w:val="000000" w:themeColor="text1"/>
        </w:rPr>
      </w:pPr>
      <w:bookmarkStart w:id="11" w:name="_Toc279732190"/>
      <w:bookmarkStart w:id="12" w:name="_Toc279831039"/>
      <w:r w:rsidRPr="0044196C">
        <w:rPr>
          <w:color w:val="000000" w:themeColor="text1"/>
        </w:rPr>
        <w:lastRenderedPageBreak/>
        <w:t>Определени</w:t>
      </w:r>
      <w:r w:rsidR="00BB68D5" w:rsidRPr="0044196C">
        <w:rPr>
          <w:color w:val="000000" w:themeColor="text1"/>
        </w:rPr>
        <w:t>я</w:t>
      </w:r>
      <w:bookmarkEnd w:id="11"/>
      <w:bookmarkEnd w:id="12"/>
    </w:p>
    <w:p w:rsidR="00DE609C" w:rsidRPr="0044196C" w:rsidRDefault="00DE609C" w:rsidP="000E7317">
      <w:pPr>
        <w:pStyle w:val="af3"/>
        <w:rPr>
          <w:color w:val="000000" w:themeColor="text1"/>
        </w:rPr>
      </w:pPr>
    </w:p>
    <w:p w:rsidR="00845DB1" w:rsidRPr="0044196C" w:rsidRDefault="00845DB1" w:rsidP="00B70766">
      <w:pPr>
        <w:pStyle w:val="a0"/>
        <w:numPr>
          <w:ilvl w:val="0"/>
          <w:numId w:val="0"/>
        </w:numPr>
        <w:ind w:left="357"/>
        <w:rPr>
          <w:color w:val="000000" w:themeColor="text1"/>
        </w:rPr>
      </w:pPr>
      <w:bookmarkStart w:id="13" w:name="_Toc279732191"/>
      <w:r w:rsidRPr="0044196C">
        <w:rPr>
          <w:color w:val="000000" w:themeColor="text1"/>
        </w:rPr>
        <w:t>Почечная АГ</w:t>
      </w:r>
      <w:r w:rsidR="00374AF3" w:rsidRPr="0044196C">
        <w:rPr>
          <w:color w:val="000000" w:themeColor="text1"/>
        </w:rPr>
        <w:t xml:space="preserve">, </w:t>
      </w:r>
      <w:r w:rsidRPr="0044196C">
        <w:rPr>
          <w:color w:val="000000" w:themeColor="text1"/>
        </w:rPr>
        <w:t xml:space="preserve">самый частый вариант вторичной АГ, </w:t>
      </w:r>
      <w:r w:rsidR="00374AF3" w:rsidRPr="0044196C">
        <w:rPr>
          <w:color w:val="000000" w:themeColor="text1"/>
        </w:rPr>
        <w:t xml:space="preserve">– синдром, </w:t>
      </w:r>
      <w:r w:rsidRPr="0044196C">
        <w:rPr>
          <w:color w:val="000000" w:themeColor="text1"/>
        </w:rPr>
        <w:t xml:space="preserve">который </w:t>
      </w:r>
      <w:r w:rsidR="00374AF3" w:rsidRPr="0044196C">
        <w:rPr>
          <w:color w:val="000000" w:themeColor="text1"/>
        </w:rPr>
        <w:t xml:space="preserve">является проявлением </w:t>
      </w:r>
      <w:r w:rsidR="00D122F4" w:rsidRPr="0044196C">
        <w:rPr>
          <w:color w:val="000000" w:themeColor="text1"/>
        </w:rPr>
        <w:t>заболевания почек</w:t>
      </w:r>
      <w:r w:rsidR="00374AF3" w:rsidRPr="0044196C">
        <w:rPr>
          <w:color w:val="000000" w:themeColor="text1"/>
        </w:rPr>
        <w:t>, характеризуется повышением уровня АД</w:t>
      </w:r>
      <w:r w:rsidR="00DD231F" w:rsidRPr="0044196C">
        <w:rPr>
          <w:color w:val="000000" w:themeColor="text1"/>
        </w:rPr>
        <w:t xml:space="preserve"> (САД ≥ 140 мм рт.ст. и/или АД диаст. ≥ 90 мм рт.ст.)</w:t>
      </w:r>
      <w:r w:rsidR="00374AF3" w:rsidRPr="0044196C">
        <w:rPr>
          <w:color w:val="000000" w:themeColor="text1"/>
        </w:rPr>
        <w:t xml:space="preserve">, приводит к </w:t>
      </w:r>
      <w:r w:rsidR="00362F2C" w:rsidRPr="0044196C">
        <w:rPr>
          <w:color w:val="000000" w:themeColor="text1"/>
        </w:rPr>
        <w:t xml:space="preserve">поражению сердечно-сосудистой системы </w:t>
      </w:r>
      <w:r w:rsidR="00374AF3" w:rsidRPr="0044196C">
        <w:rPr>
          <w:color w:val="000000" w:themeColor="text1"/>
        </w:rPr>
        <w:t xml:space="preserve"> и </w:t>
      </w:r>
      <w:r w:rsidR="00362F2C" w:rsidRPr="0044196C">
        <w:rPr>
          <w:color w:val="000000" w:themeColor="text1"/>
        </w:rPr>
        <w:t>ускоряет</w:t>
      </w:r>
      <w:r w:rsidR="00D122F4" w:rsidRPr="0044196C">
        <w:rPr>
          <w:color w:val="000000" w:themeColor="text1"/>
        </w:rPr>
        <w:t>прогрессирование ХБП</w:t>
      </w:r>
      <w:r w:rsidR="00374AF3" w:rsidRPr="0044196C">
        <w:rPr>
          <w:color w:val="000000" w:themeColor="text1"/>
        </w:rPr>
        <w:t>.</w:t>
      </w:r>
      <w:bookmarkEnd w:id="13"/>
    </w:p>
    <w:p w:rsidR="00DE609C" w:rsidRPr="0044196C" w:rsidRDefault="00D0129C" w:rsidP="00007519">
      <w:pPr>
        <w:rPr>
          <w:rFonts w:cs="Times New Roman"/>
          <w:color w:val="000000" w:themeColor="text1"/>
        </w:rPr>
      </w:pPr>
      <w:r w:rsidRPr="0044196C">
        <w:rPr>
          <w:rFonts w:cs="Times New Roman"/>
          <w:color w:val="000000" w:themeColor="text1"/>
        </w:rPr>
        <w:t xml:space="preserve">В соответствии с Российскими </w:t>
      </w:r>
      <w:r w:rsidR="00DD231F" w:rsidRPr="0044196C">
        <w:rPr>
          <w:rFonts w:cs="Times New Roman"/>
          <w:color w:val="000000" w:themeColor="text1"/>
        </w:rPr>
        <w:t xml:space="preserve">и международными </w:t>
      </w:r>
      <w:r w:rsidR="00845DB1" w:rsidRPr="0044196C">
        <w:rPr>
          <w:rFonts w:cs="Times New Roman"/>
          <w:color w:val="000000" w:themeColor="text1"/>
        </w:rPr>
        <w:t xml:space="preserve">рекомендациями по диагностике и лечению АГ </w:t>
      </w:r>
      <w:r w:rsidR="009D7C63" w:rsidRPr="0044196C">
        <w:rPr>
          <w:rFonts w:cs="Times New Roman"/>
          <w:color w:val="000000" w:themeColor="text1"/>
        </w:rPr>
        <w:fldChar w:fldCharType="begin" w:fldLock="1"/>
      </w:r>
      <w:r w:rsidR="00EA3B99" w:rsidRPr="0044196C">
        <w:rPr>
          <w:rFonts w:cs="Times New Roman"/>
          <w:color w:val="000000" w:themeColor="text1"/>
        </w:rPr>
        <w:instrText>ADDIN CSL_CITATION { "citationItems" : [ { "id" : "ITEM-1", "itemData" : { "author" : [ { "dropping-particle" : "", "family" : "\u0427\u0430\u0437\u043e\u0432\u0430", "given" : "\u0418.\u0415.", "non-dropping-particle" : "", "parse-names" : false, "suffix" : "" }, { "dropping-particle" : "", "family" : "\u0420\u0430\u0442\u043e\u0432\u0430", "given" : "\u041b.\u0413.", "non-dropping-particle" : "", "parse-names" : false, "suffix" : "" }, { "dropping-particle" : "", "family" : "\u0411\u043e\u0439\u0446\u043e\u0432", "given" : "\u0421.\u0410.", "non-dropping-particle" : "", "parse-names" : false, "suffix" : "" }, { "dropping-particle" : "", "family" : "\u041d\u0435\u0431\u0438\u0435\u0440\u0438\u0434\u0437\u0435", "given" : "\u0414.\u0412.", "non-dropping-particle" : "", "parse-names" : false, "suffix" : "" } ], "container-title" : "\u0421\u0438\u0441\u0442\u0435\u043c\u043d\u044b\u0435 \u0433\u0438\u043f\u0435\u0440\u0442\u0435\u043d\u0437\u0438\u0438", "id" : "ITEM-1", "issued" : { "date-parts" : [ [ "2010" ] ] }, "page" : "5-26", "title" : "\u0414\u0438\u0430\u0433\u043d\u043e\u0441\u0442\u0438\u043a\u0430 \u0438 \u043b\u0435\u0447\u0435\u043d\u0438\u0435 \u0430\u0440\u0442\u0435\u0440\u0438\u0430\u043b\u044c\u043d\u043e\u0439 \u0433\u0438\u043f\u0435\u0440\u0442\u0435\u043d\u0437\u0438\u0438. (\u0420\u0435\u043a\u043e\u043c\u0435\u043d\u0434\u0430\u0446\u0438\u0438 \u0420\u043e\u0441\u0441\u0438\u0439\u0441\u043a\u043e\u0433\u043e \u043c\u0435\u0434\u0438\u0446\u0438\u043d\u0441\u043a\u043e\u0433\u043e \u043e\u0431\u0449\u0435\u0441\u0442\u0432\u0430 \u043f\u043e \u0430\u0440\u0442\u0435\u0440\u0438\u0430\u043b\u044c\u043d\u043e\u0439 \u0433\u0438\u043f\u0435\u0440\u0442\u043e\u043d\u0438\u0438 \u0438 \u0412\u0441\u0435\u0440\u043e\u0441\u0441\u0438\u0439\u0441\u043a\u043e\u0433\u043e \u043d\u0430\u0443\u0447\u043d\u043e\u0433\u043e \u043e\u0431\u0449\u0435\u0441\u0442\u0432\u0430 \u043a\u0430\u0440\u0434\u0438\u043e\u043b\u043e\u0433\u043e\u0432)", "type" : "article-journal", "volume" : "3" }, "uris" : [ "http://www.mendeley.com/documents/?uuid=1b81a91b-9b6a-4993-914a-4c0036ce5323" ] }, { "id" : "ITEM-2", "itemData" : { "DOI" : "10.1093/eurheartj/eht151", "ISSN" : "1522-9645", "PMID" : "23771844", "author" : [ { "dropping-particle" : "", "family" : "Mancia", "given" : "Giuseppe", "non-dropping-particle" : "", "parse-names" : false, "suffix" : "" }, { "dropping-particle" : "", "family" : "Fagard", "given" : "Robert", "non-dropping-particle" : "", "parse-names" : false, "suffix" : "" }, { "dropping-particle" : "", "family" : "Narkiewicz", "given" : "Krzysztof", "non-dropping-particle" : "", "parse-names" : false, "suffix" : "" }, { "dropping-particle" : "", "family" : "Redon", "given" : "Josep", "non-dropping-particle" : "", "parse-names" : false, "suffix" : "" }, { "dropping-particle" : "", "family" : "Zanchetti", "given" : "Alberto", "non-dropping-particle" : "", "parse-names" : false, "suffix" : "" }, { "dropping-particle" : "", "family" : "B\u00f6hm", "given" : "Michael", "non-dropping-particle" : "", "parse-names" : false, "suffix" : "" }, { "dropping-particle" : "", "family" : "Christiaens", "given" : "Thierry", "non-dropping-particle" : "", "parse-names" : false, "suffix" : "" }, { "dropping-particle" : "", "family" : "Cifkova", "given" : "Renata", "non-dropping-particle" : "", "parse-names" : false, "suffix" : "" }, { "dropping-particle" : "", "family" : "Backer", "given" : "Guy", "non-dropping-particle" : "De", "parse-names" : false, "suffix" : "" }, { "dropping-particle" : "", "family" : "Dominiczak", "given" : "Anna", "non-dropping-particle" : "", "parse-names" : false, "suffix" : "" }, { "dropping-particle" : "", "family" : "Galderisi", "given" : "Maurizio", "non-dropping-particle" : "", "parse-names" : false, "suffix" : "" }, { "dropping-particle" : "", "family" : "Grobbee", "given" : "Diederick E", "non-dropping-particle" : "", "parse-names" : false, "suffix" : "" }, { "dropping-particle" : "", "family" : "Jaarsma", "given" : "Tiny", "non-dropping-particle" : "", "parse-names" : false, "suffix" : "" }, { "dropping-particle" : "", "family" : "Kirchhof", "given" : "Paulus", "non-dropping-particle" : "", "parse-names" : false, "suffix" : "" }, { "dropping-particle" : "", "family" : "Kjeldsen", "given" : "Sverre E", "non-dropping-particle" : "", "parse-names" : false, "suffix" : "" }, { "dropping-particle" : "", "family" : "Laurent", "given" : "St\u00e9phane", "non-dropping-particle" : "", "parse-names" : false, "suffix" : "" }, { "dropping-particle" : "", "family" : "Manolis", "given" : "Athanasios J", "non-dropping-particle" : "", "parse-names" : false, "suffix" : "" }, { "dropping-particle" : "", "family" : "Nilsson", "given" : "Peter M", "non-dropping-particle" : "", "parse-names" : false, "suffix" : "" }, { "dropping-particle" : "", "family" : "Ruilope", "given" : "Luis Miguel", "non-dropping-particle" : "", "parse-names" : false, "suffix" : "" }, { "dropping-particle" : "", "family" : "Schmieder", "given" : "Roland E", "non-dropping-particle" : "", "parse-names" : false, "suffix" : "" }, { "dropping-particle" : "", "family" : "Sirnes", "given" : "Per Anton", "non-dropping-particle" : "", "parse-names" : false, "suffix" : "" }, { "dropping-particle" : "", "family" : "Sleight", "given" : "Peter", "non-dropping-particle" : "", "parse-names" : false, "suffix" : "" }, { "dropping-particle" : "", "family" : "Viigimaa", "given" : "Margus", "non-dropping-particle" : "", "parse-names" : false, "suffix" : "" }, { "dropping-particle" : "", "family" : "Waeber", "given" : "Bernard", "non-dropping-particle" : "", "parse-names" : false, "suffix" : "" }, { "dropping-particle" : "", "family" : "Zannad", "given" : "Faiez", "non-dropping-particle" : "", "parse-names" : false, "suffix" : "" }, { "dropping-particle" : "", "family" : "Burnier", "given" : "Michel", "non-dropping-particle" : "", "parse-names" : false, "suffix" : "" }, { "dropping-particle" : "", "family" : "Ambrosioni", "given" : "Ettore", "non-dropping-particle" : "", "parse-names" : false, "suffix" : "" }, { "dropping-particle" : "", "family" : "Caufield", "given" : "Mark", "non-dropping-particle" : "", "parse-names" : false, "suffix" : "" }, { "dropping-particle" : "", "family" : "Coca", "given" : "Antonio", "non-dropping-particle" : "", "parse-names" : false, "suffix" : "" }, { "dropping-particle" : "", "family" : "Olsen", "given" : "Michael Hecht", "non-dropping-particle" : "", "parse-names" : false, "suffix" : "" }, { "dropping-particle" : "", "family" : "Tsioufis", "given" : "Costas", "non-dropping-particle" : "", "parse-names" : false, "suffix" : "" }, { "dropping-particle" : "", "family" : "Borne", "given" : "Philippe", "non-dropping-particle" : "van de", "parse-names" : false, "suffix" : "" }, { "dropping-particle" : "", "family" : "Zamorano", "given" : "Jose Luis", "non-dropping-particle" : "", "parse-names" : false, "suffix" : "" }, { "dropping-particle" : "", "family" : "Achenbach", "given" : "Stephan", "non-dropping-particle" : "", "parse-names" : false, "suffix" : "" }, { "dropping-particle" : "", "family" : "Baumgartner", "given" : "Helmut", "non-dropping-particle" : "", "parse-names" : false, "suffix" : "" }, { "dropping-particle" : "", "family" : "Bax", "given" : "Jeroen J", "non-dropping-particle" : "", "parse-names" : false, "suffix" : "" }, { "dropping-particle" : "", "family" : "Bueno", "given" : "H\u00e9ctor", "non-dropping-particle" : "", "parse-names" : false, "suffix" : "" }, { "dropping-particle" : "", "family" : "Dean", "given" : "Veronica", "non-dropping-particle" : "", "parse-names" : false, "suffix" : "" }, { "dropping-particle" : "", "family" : "Deaton", "given" : "Christi", "non-dropping-particle" : "", "parse-names" : false, "suffix" : "" }, { "dropping-particle" : "", "family" : "Erol", "given" : "Cetin", "non-dropping-particle" : "", "parse-names" : false, "suffix" : "" }, { "dropping-particle" : "", "family" : "Ferrari", "given" : "Roberto", "non-dropping-particle" : "", "parse-names" : false, "suffix" : "" }, { "dropping-particle" : "", "family" : "Hasdai", "given" : "David", "non-dropping-particle" : "", "parse-names" : false, "suffix" : "" }, { "dropping-particle" : "", "family" : "Hoes", "given" : "Arno W", "non-dropping-particle" : "", "parse-names" : false, "suffix" : "" }, { "dropping-particle" : "", "family" : "Knuuti", "given" : "Juhani", "non-dropping-particle" : "", "parse-names" : false, "suffix" : "" }, { "dropping-particle" : "", "family" : "Kolh", "given" : "Philippe", "non-dropping-particle" : "", "parse-names" : false, "suffix" : "" }, { "dropping-particle" : "", "family" : "Lancellotti", "given" : "Patrizio", "non-dropping-particle" : "", "parse-names" : false, "suffix" : "" }, { "dropping-particle" : "", "family" : "Linhart", "given" : "Ales", "non-dropping-particle" : "", "parse-names" : false, "suffix" : "" }, { "dropping-particle" : "", "family" : "Nihoyannopoulos", "given" : "Petros", "non-dropping-particle" : "", "parse-names" : false, "suffix" : "" }, { "dropping-particle" : "", "family" : "Piepoli", "given" : "Massimo F", "non-dropping-particle" : "", "parse-names" : false, "suffix" : "" }, { "dropping-particle" : "", "family" : "Ponikowski", "given" : "Piotr", "non-dropping-particle" : "", "parse-names" : false, "suffix" : "" }, { "dropping-particle" : "", "family" : "Tamargo", "given" : "Juan Luis", "non-dropping-particle" : "", "parse-names" : false, "suffix" : "" }, { "dropping-particle" : "", "family" : "Tendera", "given" : "Michal", "non-dropping-particle" : "", "parse-names" : false, "suffix" : "" }, { "dropping-particle" : "", "family" : "Torbicki", "given" : "Adam", "non-dropping-particle" : "", "parse-names" : false, "suffix" : "" }, { "dropping-particle" : "", "family" : "Wijns", "given" : "William", "non-dropping-particle" : "", "parse-names" : false, "suffix" : "" }, { "dropping-particle" : "", "family" : "Windecker", "given" : "Stephan", "non-dropping-particle" : "", "parse-names" : false, "suffix" : "" }, { "dropping-particle" : "", "family" : "Clement", "given" : "Denis L", "non-dropping-particle" : "", "parse-names" : false, "suffix" : "" }, { "dropping-particle" : "", "family" : "Gillebert", "given" : "Thierry C", "non-dropping-particle" : "", "parse-names" : false, "suffix" : "" }, { "dropping-particle" : "", "family" : "Rosei", "given" : "Enrico Agabiti", "non-dropping-particle" : "", "parse-names" : false, "suffix" : "" }, { "dropping-particle" : "", "family" : "Anker", "given" : "Stefan D", "non-dropping-particle" : "", "parse-names" : false, "suffix" : "" }, { "dropping-particle" : "", "family" : "Bauersachs", "given" : "Johann", "non-dropping-particle" : "", "parse-names" : false, "suffix" : "" }, { "dropping-particle" : "", "family" : "Hitij", "given" : "Jana Brguljan", "non-dropping-particle" : "", "parse-names" : false, "suffix" : "" }, { "dropping-particle" : "", "family" : "Caulfield", "given" : "Mark", "non-dropping-particle" : "", "parse-names" : false, "suffix" : "" }, { "dropping-particle" : "", "family" : "Buyzere", "given" : "Marc", "non-dropping-particle" : "De", "parse-names" : false, "suffix" : "" }, { "dropping-particle" : "", "family" : "Geest", "given" : "Sabina", "non-dropping-particle" : "De", "parse-names" : false, "suffix" : "" }, { "dropping-particle" : "", "family" : "Derumeaux", "given" : "Genevi\u00e8ve Anne", "non-dropping-particle" : "", "parse-names" : false, "suffix" : "" }, { "dropping-particle" : "", "family" : "Erdine", "given" : "Serap", "non-dropping-particle" : "", "parse-names" : false, "suffix" : "" }, { "dropping-particle" : "", "family" : "Farsang", "given" : "Csaba", "non-dropping-particle" : "", "parse-names" : false, "suffix" : "" }, { "dropping-particle" : "", "family" : "Funck-Brentano", "given" : "Christian", "non-dropping-particle" : "", "parse-names" : false, "suffix" : "" }, { "dropping-particle" : "", "family" : "Gerc", "given" : "Vjekoslav", "non-dropping-particle" : "", "parse-names" : false, "suffix" : "" }, { "dropping-particle" : "", "family" : "Germano", "given" : "Giuseppe", "non-dropping-particle" : "", "parse-names" : false, "suffix" : "" }, { "dropping-particle" : "", "family" : "Gielen", "given" : "Stephan", "non-dropping-particle" : "", "parse-names" : false, "suffix" : "" }, { "dropping-particle" : "", "family" : "Haller", "given" : "Herman", "non-dropping-particle" : "", "parse-names" : false, "suffix" : "" }, { "dropping-particle" : "", "family" : "Jordan", "given" : "Jens", "non-dropping-particle" : "", "parse-names" : false, "suffix" : "" }, { "dropping-particle" : "", "family" : "Kahan", "given" : "Thomas", "non-dropping-particle" : "", "parse-names" : false, "suffix" : "" }, { "dropping-particle" : "", "family" : "Komajda", "given" : "Michel", "non-dropping-particle" : "", "parse-names" : false, "suffix" : "" }, { "dropping-particle" : "", "family" : "Lovic", "given" : "Dragan", "non-dropping-particle" : "", "parse-names" : false, "suffix" : "" }, { "dropping-particle" : "", "family" : "Mahrholdt", "given" : "Heiko", "non-dropping-particle" : "", "parse-names" : false, "suffix" : "" }, { "dropping-particle" : "", "family" : "Ostergren", "given" : "Jan", "non-dropping-particle" : "", "parse-names" : false, "suffix" : "" }, { "dropping-particle" : "", "family" : "Parati", "given" : "Gianfranco", "non-dropping-particle" : "", "parse-names" : false, "suffix" : "" }, { "dropping-particle" : "", "family" : "Perk", "given" : "Joep", "non-dropping-particle" : "", "parse-names" : false, "suffix" : "" }, { "dropping-particle" : "", "family" : "Polonia", "given" : "Jorge", "non-dropping-particle" : "", "parse-names" : false, "suffix" : "" }, { "dropping-particle" : "", "family" : "Popescu", "given" : "Bogdan a", "non-dropping-particle" : "", "parse-names" : false, "suffix" : "" }, { "dropping-particle" : "", "family" : "Reiner", "given" : "Zeljko", "non-dropping-particle" : "", "parse-names" : false, "suffix" : "" }, { "dropping-particle" : "", "family" : "Ryd\u00e9n", "given" : "Lars", "non-dropping-particle" : "", "parse-names" : false, "suffix" : "" }, { "dropping-particle" : "", "family" : "Sirenko", "given" : "Yuriy", "non-dropping-particle" : "", "parse-names" : false, "suffix" : "" }, { "dropping-particle" : "", "family" : "Stanton", "given" : "Alice", "non-dropping-particle" : "", "parse-names" : false, "suffix" : "" }, { "dropping-particle" : "", "family" : "Struijker-Boudier", "given" : "Harry", "non-dropping-particle" : "", "parse-names" : false, "suffix" : "" }, { "dropping-particle" : "", "family" : "Vlachopoulos", "given" : "Charalambos", "non-dropping-particle" : "", "parse-names" : false, "suffix" : "" }, { "dropping-particle" : "", "family" : "Volpe", "given" : "Massimo", "non-dropping-particle" : "", "parse-names" : false, "suffix" : "" }, { "dropping-particle" : "", "family" : "Wood", "given" : "David a", "non-dropping-particle" : "", "parse-names" : false, "suffix" : "" } ], "container-title" : "European heart journal", "id" : "ITEM-2", "issue" : "28", "issued" : { "date-parts" : [ [ "2013", "7" ] ] }, "page" : "2159-219", "title" : "2013 ESH/ESC guidelines for the management of arterial hypertension: the Task Force for the Management of Arterial Hypertension of the European Society of Hypertension (ESH) and of the European Society of Cardiology (ESC).", "type" : "article-journal", "volume" : "34" }, "uris" : [ "http://www.mendeley.com/documents/?uuid=3a63d721-cff4-4b35-b0fa-75b89cd65fdf" ] } ], "mendeley" : { "previouslyFormattedCitation" : "[\u0427\u0430\u0437\u043e\u0432\u0430 \u0438 \u0434\u0440., 2010; Mancia \u0438 \u0434\u0440., 2013]" }, "properties" : { "noteIndex" : 0 }, "schema" : "https://github.com/citation-style-language/schema/raw/master/csl-citation.json" }</w:instrText>
      </w:r>
      <w:r w:rsidR="009D7C63" w:rsidRPr="0044196C">
        <w:rPr>
          <w:rFonts w:cs="Times New Roman"/>
          <w:color w:val="000000" w:themeColor="text1"/>
        </w:rPr>
        <w:fldChar w:fldCharType="separate"/>
      </w:r>
      <w:r w:rsidR="00EA3B99" w:rsidRPr="0044196C">
        <w:rPr>
          <w:rFonts w:cs="Times New Roman"/>
          <w:noProof/>
          <w:color w:val="000000" w:themeColor="text1"/>
        </w:rPr>
        <w:t>[Чазова и др., 2010; Mancia и др., 2013]</w:t>
      </w:r>
      <w:r w:rsidR="009D7C63" w:rsidRPr="0044196C">
        <w:rPr>
          <w:rFonts w:cs="Times New Roman"/>
          <w:color w:val="000000" w:themeColor="text1"/>
        </w:rPr>
        <w:fldChar w:fldCharType="end"/>
      </w:r>
      <w:r w:rsidR="00CC2B3A" w:rsidRPr="0044196C">
        <w:rPr>
          <w:rFonts w:cs="Times New Roman"/>
          <w:color w:val="000000" w:themeColor="text1"/>
        </w:rPr>
        <w:t xml:space="preserve"> </w:t>
      </w:r>
      <w:r w:rsidR="006F1DAC" w:rsidRPr="0044196C">
        <w:rPr>
          <w:rFonts w:cs="Times New Roman"/>
          <w:color w:val="000000" w:themeColor="text1"/>
        </w:rPr>
        <w:t xml:space="preserve">выделяют </w:t>
      </w:r>
      <w:r w:rsidR="00DD231F" w:rsidRPr="0044196C">
        <w:rPr>
          <w:rFonts w:cs="Times New Roman"/>
          <w:color w:val="000000" w:themeColor="text1"/>
        </w:rPr>
        <w:t>несколькокатегорий нормального и повышенного АД (</w:t>
      </w:r>
      <w:fldSimple w:instr=" REF _Ref374157027 \h  \* MERGEFORMAT ">
        <w:r w:rsidR="00D30C45" w:rsidRPr="0044196C">
          <w:rPr>
            <w:color w:val="000000" w:themeColor="text1"/>
          </w:rPr>
          <w:t xml:space="preserve">Таблица </w:t>
        </w:r>
        <w:r w:rsidR="00D30C45" w:rsidRPr="0044196C">
          <w:rPr>
            <w:noProof/>
            <w:color w:val="000000" w:themeColor="text1"/>
          </w:rPr>
          <w:t>3</w:t>
        </w:r>
      </w:fldSimple>
      <w:r w:rsidR="00DD231F" w:rsidRPr="0044196C">
        <w:rPr>
          <w:rFonts w:cs="Times New Roman"/>
          <w:color w:val="000000" w:themeColor="text1"/>
        </w:rPr>
        <w:t>).</w:t>
      </w:r>
    </w:p>
    <w:p w:rsidR="00DD231F" w:rsidRPr="0044196C" w:rsidRDefault="00DD231F" w:rsidP="00DD231F">
      <w:pPr>
        <w:pStyle w:val="af4"/>
        <w:rPr>
          <w:rFonts w:cs="Times New Roman"/>
          <w:color w:val="000000" w:themeColor="text1"/>
        </w:rPr>
      </w:pPr>
      <w:bookmarkStart w:id="14" w:name="_Ref374157027"/>
      <w:r w:rsidRPr="0044196C">
        <w:rPr>
          <w:color w:val="000000" w:themeColor="text1"/>
        </w:rPr>
        <w:t xml:space="preserve">Таблица </w:t>
      </w:r>
      <w:r w:rsidR="009D7C63" w:rsidRPr="0044196C">
        <w:rPr>
          <w:color w:val="000000" w:themeColor="text1"/>
        </w:rPr>
        <w:fldChar w:fldCharType="begin"/>
      </w:r>
      <w:r w:rsidR="001647A9" w:rsidRPr="0044196C">
        <w:rPr>
          <w:color w:val="000000" w:themeColor="text1"/>
        </w:rPr>
        <w:instrText xml:space="preserve"> SEQ Таблица \* ARABIC </w:instrText>
      </w:r>
      <w:r w:rsidR="009D7C63" w:rsidRPr="0044196C">
        <w:rPr>
          <w:color w:val="000000" w:themeColor="text1"/>
        </w:rPr>
        <w:fldChar w:fldCharType="separate"/>
      </w:r>
      <w:r w:rsidR="00DF40EA" w:rsidRPr="0044196C">
        <w:rPr>
          <w:noProof/>
          <w:color w:val="000000" w:themeColor="text1"/>
        </w:rPr>
        <w:t>3</w:t>
      </w:r>
      <w:r w:rsidR="009D7C63" w:rsidRPr="0044196C">
        <w:rPr>
          <w:noProof/>
          <w:color w:val="000000" w:themeColor="text1"/>
        </w:rPr>
        <w:fldChar w:fldCharType="end"/>
      </w:r>
      <w:bookmarkEnd w:id="14"/>
    </w:p>
    <w:p w:rsidR="00DD231F" w:rsidRPr="0044196C" w:rsidRDefault="00DD231F" w:rsidP="00DD231F">
      <w:pPr>
        <w:pStyle w:val="af4"/>
        <w:rPr>
          <w:color w:val="000000" w:themeColor="text1"/>
        </w:rPr>
      </w:pPr>
      <w:r w:rsidRPr="0044196C">
        <w:rPr>
          <w:color w:val="000000" w:themeColor="text1"/>
        </w:rPr>
        <w:t>Классификация уровней АД, мм рт. ст.</w:t>
      </w:r>
    </w:p>
    <w:tbl>
      <w:tblPr>
        <w:tblW w:w="5000" w:type="pct"/>
        <w:tblLook w:val="04A0"/>
      </w:tblPr>
      <w:tblGrid>
        <w:gridCol w:w="2660"/>
        <w:gridCol w:w="2977"/>
        <w:gridCol w:w="992"/>
        <w:gridCol w:w="2942"/>
      </w:tblGrid>
      <w:tr w:rsidR="00133325" w:rsidRPr="0044196C" w:rsidTr="00DE609C">
        <w:tc>
          <w:tcPr>
            <w:tcW w:w="1390" w:type="pct"/>
            <w:tcBorders>
              <w:right w:val="single" w:sz="8" w:space="0" w:color="FFFFFF"/>
            </w:tcBorders>
            <w:shd w:val="clear" w:color="auto" w:fill="365F91" w:themeFill="accent1" w:themeFillShade="BF"/>
          </w:tcPr>
          <w:p w:rsidR="00133325" w:rsidRPr="0044196C" w:rsidRDefault="00133325" w:rsidP="00133325">
            <w:pPr>
              <w:pStyle w:val="af6"/>
              <w:rPr>
                <w:color w:val="000000" w:themeColor="text1"/>
              </w:rPr>
            </w:pPr>
            <w:r w:rsidRPr="0044196C">
              <w:rPr>
                <w:color w:val="000000" w:themeColor="text1"/>
              </w:rPr>
              <w:t xml:space="preserve">Категория АД </w:t>
            </w:r>
          </w:p>
        </w:tc>
        <w:tc>
          <w:tcPr>
            <w:tcW w:w="1555" w:type="pct"/>
            <w:tcBorders>
              <w:left w:val="single" w:sz="8" w:space="0" w:color="FFFFFF"/>
              <w:right w:val="single" w:sz="8" w:space="0" w:color="FFFFFF"/>
            </w:tcBorders>
            <w:shd w:val="clear" w:color="auto" w:fill="365F91" w:themeFill="accent1" w:themeFillShade="BF"/>
          </w:tcPr>
          <w:p w:rsidR="00133325" w:rsidRPr="0044196C" w:rsidRDefault="00133325" w:rsidP="00133325">
            <w:pPr>
              <w:pStyle w:val="af6"/>
              <w:rPr>
                <w:color w:val="000000" w:themeColor="text1"/>
              </w:rPr>
            </w:pPr>
            <w:r w:rsidRPr="0044196C">
              <w:rPr>
                <w:color w:val="000000" w:themeColor="text1"/>
              </w:rPr>
              <w:t xml:space="preserve">Систолическое АД </w:t>
            </w:r>
          </w:p>
        </w:tc>
        <w:tc>
          <w:tcPr>
            <w:tcW w:w="518" w:type="pct"/>
            <w:tcBorders>
              <w:left w:val="single" w:sz="8" w:space="0" w:color="FFFFFF"/>
              <w:right w:val="single" w:sz="8" w:space="0" w:color="FFFFFF"/>
            </w:tcBorders>
            <w:shd w:val="clear" w:color="auto" w:fill="365F91" w:themeFill="accent1" w:themeFillShade="BF"/>
          </w:tcPr>
          <w:p w:rsidR="00133325" w:rsidRPr="0044196C" w:rsidRDefault="00133325" w:rsidP="00133325">
            <w:pPr>
              <w:pStyle w:val="af6"/>
              <w:rPr>
                <w:color w:val="000000" w:themeColor="text1"/>
              </w:rPr>
            </w:pPr>
          </w:p>
        </w:tc>
        <w:tc>
          <w:tcPr>
            <w:tcW w:w="1537" w:type="pct"/>
            <w:tcBorders>
              <w:left w:val="single" w:sz="8" w:space="0" w:color="FFFFFF"/>
            </w:tcBorders>
            <w:shd w:val="clear" w:color="auto" w:fill="365F91" w:themeFill="accent1" w:themeFillShade="BF"/>
          </w:tcPr>
          <w:p w:rsidR="00133325" w:rsidRPr="0044196C" w:rsidRDefault="00133325" w:rsidP="00133325">
            <w:pPr>
              <w:pStyle w:val="af6"/>
              <w:rPr>
                <w:color w:val="000000" w:themeColor="text1"/>
              </w:rPr>
            </w:pPr>
            <w:r w:rsidRPr="0044196C">
              <w:rPr>
                <w:color w:val="000000" w:themeColor="text1"/>
              </w:rPr>
              <w:t>Диастолическое АД</w:t>
            </w:r>
          </w:p>
        </w:tc>
      </w:tr>
      <w:tr w:rsidR="00182442" w:rsidRPr="0044196C" w:rsidTr="00182442">
        <w:tc>
          <w:tcPr>
            <w:tcW w:w="1390" w:type="pct"/>
            <w:shd w:val="clear" w:color="auto" w:fill="99FF99"/>
          </w:tcPr>
          <w:p w:rsidR="00133325" w:rsidRPr="0044196C" w:rsidRDefault="00133325" w:rsidP="00D122F4">
            <w:pPr>
              <w:spacing w:before="60" w:after="60"/>
              <w:ind w:firstLine="0"/>
              <w:rPr>
                <w:rFonts w:asciiTheme="minorHAnsi" w:hAnsiTheme="minorHAnsi"/>
                <w:color w:val="000000" w:themeColor="text1"/>
              </w:rPr>
            </w:pPr>
            <w:r w:rsidRPr="0044196C">
              <w:rPr>
                <w:rFonts w:asciiTheme="minorHAnsi" w:hAnsiTheme="minorHAnsi"/>
                <w:color w:val="000000" w:themeColor="text1"/>
              </w:rPr>
              <w:t>Оптимальное</w:t>
            </w:r>
          </w:p>
        </w:tc>
        <w:tc>
          <w:tcPr>
            <w:tcW w:w="1555" w:type="pct"/>
            <w:shd w:val="clear" w:color="auto" w:fill="99FF99"/>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&lt;120</w:t>
            </w:r>
          </w:p>
        </w:tc>
        <w:tc>
          <w:tcPr>
            <w:tcW w:w="518" w:type="pct"/>
            <w:shd w:val="clear" w:color="auto" w:fill="99FF99"/>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и</w:t>
            </w:r>
          </w:p>
        </w:tc>
        <w:tc>
          <w:tcPr>
            <w:tcW w:w="1537" w:type="pct"/>
            <w:shd w:val="clear" w:color="auto" w:fill="99FF99"/>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&lt;80</w:t>
            </w:r>
          </w:p>
        </w:tc>
      </w:tr>
      <w:tr w:rsidR="00182442" w:rsidRPr="0044196C" w:rsidTr="00182442">
        <w:tc>
          <w:tcPr>
            <w:tcW w:w="1390" w:type="pct"/>
            <w:shd w:val="clear" w:color="auto" w:fill="99FF99"/>
          </w:tcPr>
          <w:p w:rsidR="00133325" w:rsidRPr="0044196C" w:rsidRDefault="00133325" w:rsidP="00D122F4">
            <w:pPr>
              <w:spacing w:before="60" w:after="60"/>
              <w:ind w:firstLine="0"/>
              <w:rPr>
                <w:rFonts w:asciiTheme="minorHAnsi" w:hAnsiTheme="minorHAnsi"/>
                <w:color w:val="000000" w:themeColor="text1"/>
              </w:rPr>
            </w:pPr>
            <w:r w:rsidRPr="0044196C">
              <w:rPr>
                <w:rFonts w:asciiTheme="minorHAnsi" w:hAnsiTheme="minorHAnsi"/>
                <w:color w:val="000000" w:themeColor="text1"/>
              </w:rPr>
              <w:t xml:space="preserve">Нормальное </w:t>
            </w:r>
          </w:p>
        </w:tc>
        <w:tc>
          <w:tcPr>
            <w:tcW w:w="1555" w:type="pct"/>
            <w:shd w:val="clear" w:color="auto" w:fill="99FF99"/>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120–129</w:t>
            </w:r>
          </w:p>
        </w:tc>
        <w:tc>
          <w:tcPr>
            <w:tcW w:w="518" w:type="pct"/>
            <w:shd w:val="clear" w:color="auto" w:fill="99FF99"/>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и/или</w:t>
            </w:r>
          </w:p>
        </w:tc>
        <w:tc>
          <w:tcPr>
            <w:tcW w:w="1537" w:type="pct"/>
            <w:shd w:val="clear" w:color="auto" w:fill="99FF99"/>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80–84</w:t>
            </w:r>
          </w:p>
        </w:tc>
      </w:tr>
      <w:tr w:rsidR="00182442" w:rsidRPr="0044196C" w:rsidTr="00182442">
        <w:tc>
          <w:tcPr>
            <w:tcW w:w="1390" w:type="pct"/>
            <w:shd w:val="clear" w:color="auto" w:fill="FFFF66"/>
          </w:tcPr>
          <w:p w:rsidR="00133325" w:rsidRPr="0044196C" w:rsidRDefault="00133325" w:rsidP="00D122F4">
            <w:pPr>
              <w:spacing w:before="60" w:after="60"/>
              <w:ind w:firstLine="0"/>
              <w:rPr>
                <w:rFonts w:asciiTheme="minorHAnsi" w:hAnsiTheme="minorHAnsi"/>
                <w:color w:val="000000" w:themeColor="text1"/>
              </w:rPr>
            </w:pPr>
            <w:r w:rsidRPr="0044196C">
              <w:rPr>
                <w:rFonts w:asciiTheme="minorHAnsi" w:hAnsiTheme="minorHAnsi"/>
                <w:color w:val="000000" w:themeColor="text1"/>
              </w:rPr>
              <w:t xml:space="preserve">Высокое нормальное </w:t>
            </w:r>
          </w:p>
        </w:tc>
        <w:tc>
          <w:tcPr>
            <w:tcW w:w="1555" w:type="pct"/>
            <w:shd w:val="clear" w:color="auto" w:fill="FFFF66"/>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130–139</w:t>
            </w:r>
          </w:p>
        </w:tc>
        <w:tc>
          <w:tcPr>
            <w:tcW w:w="518" w:type="pct"/>
            <w:shd w:val="clear" w:color="auto" w:fill="FFFF66"/>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и/или</w:t>
            </w:r>
          </w:p>
        </w:tc>
        <w:tc>
          <w:tcPr>
            <w:tcW w:w="1537" w:type="pct"/>
            <w:shd w:val="clear" w:color="auto" w:fill="FFFF66"/>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85–89</w:t>
            </w:r>
          </w:p>
        </w:tc>
      </w:tr>
      <w:tr w:rsidR="00F129AF" w:rsidRPr="0044196C" w:rsidTr="00F129AF">
        <w:tc>
          <w:tcPr>
            <w:tcW w:w="1390" w:type="pct"/>
            <w:shd w:val="clear" w:color="auto" w:fill="FFCCFF"/>
          </w:tcPr>
          <w:p w:rsidR="00133325" w:rsidRPr="0044196C" w:rsidRDefault="00133325" w:rsidP="00D122F4">
            <w:pPr>
              <w:spacing w:before="60" w:after="60"/>
              <w:ind w:firstLine="0"/>
              <w:rPr>
                <w:rFonts w:asciiTheme="minorHAnsi" w:hAnsiTheme="minorHAnsi"/>
                <w:color w:val="000000" w:themeColor="text1"/>
              </w:rPr>
            </w:pPr>
            <w:r w:rsidRPr="0044196C">
              <w:rPr>
                <w:rFonts w:asciiTheme="minorHAnsi" w:hAnsiTheme="minorHAnsi"/>
                <w:color w:val="000000" w:themeColor="text1"/>
              </w:rPr>
              <w:t xml:space="preserve">АГ 1-й степени </w:t>
            </w:r>
          </w:p>
        </w:tc>
        <w:tc>
          <w:tcPr>
            <w:tcW w:w="1555" w:type="pct"/>
            <w:shd w:val="clear" w:color="auto" w:fill="FFCCFF"/>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140–159</w:t>
            </w:r>
          </w:p>
        </w:tc>
        <w:tc>
          <w:tcPr>
            <w:tcW w:w="518" w:type="pct"/>
            <w:shd w:val="clear" w:color="auto" w:fill="FFCCFF"/>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и/или</w:t>
            </w:r>
          </w:p>
        </w:tc>
        <w:tc>
          <w:tcPr>
            <w:tcW w:w="1537" w:type="pct"/>
            <w:shd w:val="clear" w:color="auto" w:fill="FFCCFF"/>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90–99</w:t>
            </w:r>
          </w:p>
        </w:tc>
      </w:tr>
      <w:tr w:rsidR="00F129AF" w:rsidRPr="0044196C" w:rsidTr="00F129AF">
        <w:tc>
          <w:tcPr>
            <w:tcW w:w="1390" w:type="pct"/>
            <w:shd w:val="clear" w:color="auto" w:fill="FFCCFF"/>
          </w:tcPr>
          <w:p w:rsidR="00133325" w:rsidRPr="0044196C" w:rsidRDefault="00133325" w:rsidP="00D122F4">
            <w:pPr>
              <w:spacing w:before="60" w:after="60"/>
              <w:ind w:firstLine="0"/>
              <w:rPr>
                <w:rFonts w:asciiTheme="minorHAnsi" w:hAnsiTheme="minorHAnsi"/>
                <w:color w:val="000000" w:themeColor="text1"/>
              </w:rPr>
            </w:pPr>
            <w:r w:rsidRPr="0044196C">
              <w:rPr>
                <w:rFonts w:asciiTheme="minorHAnsi" w:hAnsiTheme="minorHAnsi"/>
                <w:color w:val="000000" w:themeColor="text1"/>
              </w:rPr>
              <w:t xml:space="preserve">АГ 2-й степени </w:t>
            </w:r>
          </w:p>
        </w:tc>
        <w:tc>
          <w:tcPr>
            <w:tcW w:w="1555" w:type="pct"/>
            <w:shd w:val="clear" w:color="auto" w:fill="FFCCFF"/>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160–179</w:t>
            </w:r>
          </w:p>
        </w:tc>
        <w:tc>
          <w:tcPr>
            <w:tcW w:w="518" w:type="pct"/>
            <w:shd w:val="clear" w:color="auto" w:fill="FFCCFF"/>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и/или</w:t>
            </w:r>
          </w:p>
        </w:tc>
        <w:tc>
          <w:tcPr>
            <w:tcW w:w="1537" w:type="pct"/>
            <w:shd w:val="clear" w:color="auto" w:fill="FFCCFF"/>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100–109</w:t>
            </w:r>
          </w:p>
        </w:tc>
      </w:tr>
      <w:tr w:rsidR="00F129AF" w:rsidRPr="0044196C" w:rsidTr="00F129AF">
        <w:tc>
          <w:tcPr>
            <w:tcW w:w="1390" w:type="pct"/>
            <w:shd w:val="clear" w:color="auto" w:fill="FFCCFF"/>
          </w:tcPr>
          <w:p w:rsidR="00133325" w:rsidRPr="0044196C" w:rsidRDefault="00133325" w:rsidP="00D122F4">
            <w:pPr>
              <w:spacing w:before="60" w:after="60"/>
              <w:ind w:firstLine="0"/>
              <w:rPr>
                <w:rFonts w:asciiTheme="minorHAnsi" w:hAnsiTheme="minorHAnsi"/>
                <w:color w:val="000000" w:themeColor="text1"/>
              </w:rPr>
            </w:pPr>
            <w:r w:rsidRPr="0044196C">
              <w:rPr>
                <w:rFonts w:asciiTheme="minorHAnsi" w:hAnsiTheme="minorHAnsi"/>
                <w:color w:val="000000" w:themeColor="text1"/>
              </w:rPr>
              <w:t xml:space="preserve">АГ 3-й степени </w:t>
            </w:r>
          </w:p>
        </w:tc>
        <w:tc>
          <w:tcPr>
            <w:tcW w:w="1555" w:type="pct"/>
            <w:shd w:val="clear" w:color="auto" w:fill="FFCCFF"/>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≥180</w:t>
            </w:r>
          </w:p>
        </w:tc>
        <w:tc>
          <w:tcPr>
            <w:tcW w:w="518" w:type="pct"/>
            <w:shd w:val="clear" w:color="auto" w:fill="FFCCFF"/>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и/или</w:t>
            </w:r>
          </w:p>
        </w:tc>
        <w:tc>
          <w:tcPr>
            <w:tcW w:w="1537" w:type="pct"/>
            <w:shd w:val="clear" w:color="auto" w:fill="FFCCFF"/>
          </w:tcPr>
          <w:p w:rsidR="00133325" w:rsidRPr="0044196C" w:rsidRDefault="00133325" w:rsidP="00D122F4">
            <w:pPr>
              <w:spacing w:before="60" w:after="60"/>
              <w:ind w:firstLine="0"/>
              <w:jc w:val="center"/>
              <w:rPr>
                <w:rFonts w:asciiTheme="minorHAnsi" w:hAnsiTheme="minorHAnsi"/>
                <w:color w:val="000000" w:themeColor="text1"/>
              </w:rPr>
            </w:pPr>
            <w:r w:rsidRPr="0044196C">
              <w:rPr>
                <w:rFonts w:asciiTheme="minorHAnsi" w:hAnsiTheme="minorHAnsi"/>
                <w:color w:val="000000" w:themeColor="text1"/>
              </w:rPr>
              <w:t>≥110</w:t>
            </w:r>
          </w:p>
        </w:tc>
      </w:tr>
      <w:tr w:rsidR="00F129AF" w:rsidRPr="0044196C" w:rsidTr="001A0EF9">
        <w:tc>
          <w:tcPr>
            <w:tcW w:w="1390" w:type="pct"/>
            <w:shd w:val="clear" w:color="auto" w:fill="FFCCFF"/>
            <w:vAlign w:val="center"/>
          </w:tcPr>
          <w:p w:rsidR="00133325" w:rsidRPr="0044196C" w:rsidRDefault="00133325" w:rsidP="001A0EF9">
            <w:pPr>
              <w:spacing w:before="60" w:after="120"/>
              <w:ind w:firstLine="0"/>
              <w:jc w:val="left"/>
              <w:rPr>
                <w:rFonts w:asciiTheme="minorHAnsi" w:hAnsiTheme="minorHAnsi"/>
                <w:color w:val="000000" w:themeColor="text1"/>
              </w:rPr>
            </w:pPr>
            <w:r w:rsidRPr="0044196C">
              <w:rPr>
                <w:rFonts w:asciiTheme="minorHAnsi" w:hAnsiTheme="minorHAnsi"/>
                <w:color w:val="000000" w:themeColor="text1"/>
              </w:rPr>
              <w:t>Изолированная систолическая АГ</w:t>
            </w:r>
          </w:p>
        </w:tc>
        <w:tc>
          <w:tcPr>
            <w:tcW w:w="1555" w:type="pct"/>
            <w:shd w:val="clear" w:color="auto" w:fill="FFCCFF"/>
            <w:vAlign w:val="center"/>
          </w:tcPr>
          <w:p w:rsidR="00133325" w:rsidRPr="0044196C" w:rsidRDefault="00133325" w:rsidP="001A0EF9">
            <w:pPr>
              <w:spacing w:before="60" w:after="120"/>
              <w:ind w:firstLine="0"/>
              <w:jc w:val="center"/>
              <w:rPr>
                <w:rFonts w:asciiTheme="minorHAnsi" w:hAnsiTheme="minorHAnsi"/>
                <w:color w:val="000000" w:themeColor="text1"/>
              </w:rPr>
            </w:pPr>
            <w:r w:rsidRPr="0044196C">
              <w:rPr>
                <w:rFonts w:asciiTheme="minorHAnsi" w:hAnsiTheme="minorHAnsi"/>
                <w:color w:val="000000" w:themeColor="text1"/>
              </w:rPr>
              <w:t>≥140</w:t>
            </w:r>
          </w:p>
        </w:tc>
        <w:tc>
          <w:tcPr>
            <w:tcW w:w="518" w:type="pct"/>
            <w:shd w:val="clear" w:color="auto" w:fill="FFCCFF"/>
            <w:vAlign w:val="center"/>
          </w:tcPr>
          <w:p w:rsidR="00133325" w:rsidRPr="0044196C" w:rsidRDefault="00133325" w:rsidP="001A0EF9">
            <w:pPr>
              <w:spacing w:before="60" w:after="120"/>
              <w:ind w:firstLine="0"/>
              <w:jc w:val="center"/>
              <w:rPr>
                <w:rFonts w:asciiTheme="minorHAnsi" w:hAnsiTheme="minorHAnsi"/>
                <w:color w:val="000000" w:themeColor="text1"/>
              </w:rPr>
            </w:pPr>
            <w:r w:rsidRPr="0044196C">
              <w:rPr>
                <w:rFonts w:asciiTheme="minorHAnsi" w:hAnsiTheme="minorHAnsi"/>
                <w:color w:val="000000" w:themeColor="text1"/>
              </w:rPr>
              <w:t>и</w:t>
            </w:r>
          </w:p>
        </w:tc>
        <w:tc>
          <w:tcPr>
            <w:tcW w:w="1537" w:type="pct"/>
            <w:shd w:val="clear" w:color="auto" w:fill="FFCCFF"/>
            <w:vAlign w:val="center"/>
          </w:tcPr>
          <w:p w:rsidR="00133325" w:rsidRPr="0044196C" w:rsidRDefault="00133325" w:rsidP="001A0EF9">
            <w:pPr>
              <w:spacing w:before="60" w:after="120"/>
              <w:ind w:firstLine="0"/>
              <w:jc w:val="center"/>
              <w:rPr>
                <w:rFonts w:asciiTheme="minorHAnsi" w:hAnsiTheme="minorHAnsi"/>
                <w:color w:val="000000" w:themeColor="text1"/>
              </w:rPr>
            </w:pPr>
            <w:r w:rsidRPr="0044196C">
              <w:rPr>
                <w:rFonts w:asciiTheme="minorHAnsi" w:hAnsiTheme="minorHAnsi"/>
                <w:color w:val="000000" w:themeColor="text1"/>
              </w:rPr>
              <w:t>&lt;90</w:t>
            </w:r>
          </w:p>
        </w:tc>
      </w:tr>
    </w:tbl>
    <w:p w:rsidR="00DE609C" w:rsidRPr="0044196C" w:rsidRDefault="00A919AB" w:rsidP="00254A3B">
      <w:pPr>
        <w:tabs>
          <w:tab w:val="left" w:pos="3573"/>
        </w:tabs>
        <w:rPr>
          <w:rFonts w:cs="Times New Roman"/>
          <w:i/>
          <w:color w:val="000000" w:themeColor="text1"/>
          <w:sz w:val="22"/>
        </w:rPr>
      </w:pPr>
      <w:r w:rsidRPr="0044196C">
        <w:rPr>
          <w:rFonts w:cs="Times New Roman"/>
          <w:i/>
          <w:color w:val="000000" w:themeColor="text1"/>
          <w:sz w:val="22"/>
        </w:rPr>
        <w:t xml:space="preserve">Если по уровню </w:t>
      </w:r>
      <w:r w:rsidR="001A0EF9" w:rsidRPr="0044196C">
        <w:rPr>
          <w:rFonts w:cs="Times New Roman"/>
          <w:i/>
          <w:color w:val="000000" w:themeColor="text1"/>
          <w:sz w:val="22"/>
        </w:rPr>
        <w:t xml:space="preserve">САДиДАД пациент попадает в разные категории, предпочтение отдается более высокой категории АД. </w:t>
      </w:r>
    </w:p>
    <w:p w:rsidR="00D122F4" w:rsidRPr="0044196C" w:rsidRDefault="001A0EF9" w:rsidP="003078E3">
      <w:pPr>
        <w:tabs>
          <w:tab w:val="left" w:pos="3573"/>
        </w:tabs>
        <w:rPr>
          <w:rFonts w:cs="Times New Roman"/>
          <w:color w:val="000000" w:themeColor="text1"/>
        </w:rPr>
      </w:pPr>
      <w:r w:rsidRPr="0044196C">
        <w:rPr>
          <w:rFonts w:cs="Times New Roman"/>
          <w:color w:val="000000" w:themeColor="text1"/>
        </w:rPr>
        <w:t xml:space="preserve">Как показали клинические исследования, в подавляющем большинстве случаев ХБП </w:t>
      </w:r>
      <w:r w:rsidR="003078E3" w:rsidRPr="0044196C">
        <w:rPr>
          <w:rFonts w:cs="Times New Roman"/>
          <w:color w:val="000000" w:themeColor="text1"/>
        </w:rPr>
        <w:t xml:space="preserve">уровни САД и ДАД </w:t>
      </w:r>
      <w:r w:rsidRPr="0044196C">
        <w:rPr>
          <w:rFonts w:cs="Times New Roman"/>
          <w:color w:val="000000" w:themeColor="text1"/>
        </w:rPr>
        <w:t>либо соответств</w:t>
      </w:r>
      <w:r w:rsidR="003078E3" w:rsidRPr="0044196C">
        <w:rPr>
          <w:rFonts w:cs="Times New Roman"/>
          <w:color w:val="000000" w:themeColor="text1"/>
        </w:rPr>
        <w:t>уют</w:t>
      </w:r>
      <w:r w:rsidRPr="0044196C">
        <w:rPr>
          <w:rFonts w:cs="Times New Roman"/>
          <w:color w:val="000000" w:themeColor="text1"/>
        </w:rPr>
        <w:t xml:space="preserve"> одной категории, либо имеется изолированная систолическая АГ. Изолированная диастолическая АГ встречается редко </w:t>
      </w:r>
      <w:r w:rsidR="009D7C63" w:rsidRPr="0044196C">
        <w:rPr>
          <w:rFonts w:cs="Times New Roman"/>
          <w:color w:val="000000" w:themeColor="text1"/>
        </w:rPr>
        <w:fldChar w:fldCharType="begin" w:fldLock="1"/>
      </w:r>
      <w:r w:rsidR="00EA3B99" w:rsidRPr="0044196C">
        <w:rPr>
          <w:rFonts w:cs="Times New Roman"/>
          <w:color w:val="000000" w:themeColor="text1"/>
        </w:rPr>
        <w:instrText>ADDIN CSL_CITATION { "citationItems" : [ { "id" : "ITEM-1", "itemData" : { "ISSN" : "1121-8428", "PMID" : "20119928", "abstract" : "OBJECTIVES: Pulse pressure (PP) is a predictor of adverse outcomes in patients on haemodialysis and with predialysis chronic kidney disease (CKD). However, the relationship between PP and kidney disease progression is not clear in mild to moderate CKD, which this study aimed to investigate.\n\nMETHODS: CKD patients (n=329) were followed up for 172 +/- 93 days (mean +/- SD). The clinical characteristics at baseline were, age 64 +/- 17 years, 62% males, 27% diabetics, estimated glomerular filtration rate (eGFR) 39 +/- 18 ml/min per 1.73 m2, systolic blood pressure (SBP) 141 +/- 24 mm Hg, diastolic blood pressure (DBP) 76 +/- 12 mm Hg and PP 65 +/- 20 mm Hg. On follow-up, eGFR decreased (39 +/- 18 vs. 38+/-18 ml/min per 1.73 m2; p&lt;0.01), SBP and PP improved (141 +/- 24 mm Hg vs. 133 +/- 19 mm Hg; p&lt;0.001; and 65 +/- 20 mm Hg vs. 59+/-17 mm Hg; p&lt;0.001), and DBP was unchanged.\n\nRESULTS: Declining kidney function as assessed by eGFR was inversely related to baseline SBP (r=-0.15; p&lt;0.01) and PP (r=-0.18; p&lt;0.001), but no relationship with DBP was observed. During follow-up, baseline PP correlated with declining eGFR (r=-0.15; p&lt;0.01) similar to SBP (r=-0.15; p&lt;0.01), but DBP did not. Patients with declining eGFR had higher PP (69 +/- 20 mm Hg vs. 62 +/- 20 mm Hg; p&lt;0.005), higher SBP (145 +/- 23 mm Hg vs. 138 +/- 25 mm Hg; p&lt;0.05) but similar DBP (76 +/- 12 mm Hg vs. 76 +/- 12 mm Hg; p=0.8) compared with patients with stable eGFR.\n\nCONCLUSIONS: Baseline PP was the only predictor of eGFR decline adjusted for age, baseline eGFR, diabetes, haemoglobin and use of angiotensin-converting enzyme inhibitors or angiotensin receptor blockers. PP &gt;65 mm Hg was associated declining renal function (log rank chi-square; p&lt;0.05). This study suggests that PP is a better predictor of adverse renal outcome even in mild to moderate CKD, than DBP or even SBP.", "author" : [ { "dropping-particle" : "", "family" : "Arulkumaran", "given" : "Nishkanta", "non-dropping-particle" : "", "parse-names" : false, "suffix" : "" }, { "dropping-particle" : "", "family" : "Diwakar", "given" : "Ramaswamy", "non-dropping-particle" : "", "parse-names" : false, "suffix" : "" }, { "dropping-particle" : "", "family" : "Tahir", "given" : "Zaheer", "non-dropping-particle" : "", "parse-names" : false, "suffix" : "" }, { "dropping-particle" : "", "family" : "Mohamed", "given" : "Maha", "non-dropping-particle" : "", "parse-names" : false, "suffix" : "" }, { "dropping-particle" : "", "family" : "Kaski", "given" : "Juan Carlos", "non-dropping-particle" : "", "parse-names" : false, "suffix" : "" }, { "dropping-particle" : "", "family" : "Banerjee", "given" : "Debasish", "non-dropping-particle" : "", "parse-names" : false, "suffix" : "" } ], "container-title" : "Journal of nephrology", "id" : "ITEM-1", "issue" : "2", "issued" : { "date-parts" : [ [ "2010" ] ] }, "page" : "189-93", "title" : "Pulse pressure and progression of chronic kidney disease.", "type" : "article-journal", "volume" : "23" }, "uris" : [ "http://www.mendeley.com/documents/?uuid=a50b1c4f-08cd-4007-a687-f42914c94631" ] } ], "mendeley" : { "previouslyFormattedCitation" : "[Arulkumaran \u0438 \u0434\u0440., 2010]" }, "properties" : { "noteIndex" : 0 }, "schema" : "https://github.com/citation-style-language/schema/raw/master/csl-citation.json" }</w:instrText>
      </w:r>
      <w:r w:rsidR="009D7C63" w:rsidRPr="0044196C">
        <w:rPr>
          <w:rFonts w:cs="Times New Roman"/>
          <w:color w:val="000000" w:themeColor="text1"/>
        </w:rPr>
        <w:fldChar w:fldCharType="separate"/>
      </w:r>
      <w:r w:rsidR="00EA3B99" w:rsidRPr="0044196C">
        <w:rPr>
          <w:rFonts w:cs="Times New Roman"/>
          <w:noProof/>
          <w:color w:val="000000" w:themeColor="text1"/>
        </w:rPr>
        <w:t>[Arulkumaran и др., 2010]</w:t>
      </w:r>
      <w:r w:rsidR="009D7C63" w:rsidRPr="0044196C">
        <w:rPr>
          <w:rFonts w:cs="Times New Roman"/>
          <w:color w:val="000000" w:themeColor="text1"/>
        </w:rPr>
        <w:fldChar w:fldCharType="end"/>
      </w:r>
      <w:r w:rsidRPr="0044196C">
        <w:rPr>
          <w:rFonts w:cs="Times New Roman"/>
          <w:color w:val="000000" w:themeColor="text1"/>
        </w:rPr>
        <w:t xml:space="preserve">. </w:t>
      </w:r>
      <w:r w:rsidR="003078E3" w:rsidRPr="0044196C">
        <w:rPr>
          <w:rFonts w:cs="Times New Roman"/>
          <w:color w:val="000000" w:themeColor="text1"/>
        </w:rPr>
        <w:t xml:space="preserve">В процессе прогрессирования ХБП и снижения функции почек отмечается увеличение как САД, так и ДАД, но САД растет в большей мере – за счет </w:t>
      </w:r>
      <w:r w:rsidRPr="0044196C">
        <w:rPr>
          <w:rFonts w:cs="Times New Roman"/>
          <w:color w:val="000000" w:themeColor="text1"/>
        </w:rPr>
        <w:t xml:space="preserve">ремоделирования и кальциноза магистральных артерий, </w:t>
      </w:r>
      <w:r w:rsidR="003078E3" w:rsidRPr="0044196C">
        <w:rPr>
          <w:rFonts w:cs="Times New Roman"/>
          <w:color w:val="000000" w:themeColor="text1"/>
        </w:rPr>
        <w:t xml:space="preserve">со </w:t>
      </w:r>
      <w:r w:rsidRPr="0044196C">
        <w:rPr>
          <w:rFonts w:cs="Times New Roman"/>
          <w:color w:val="000000" w:themeColor="text1"/>
        </w:rPr>
        <w:t>снижени</w:t>
      </w:r>
      <w:r w:rsidR="003078E3" w:rsidRPr="0044196C">
        <w:rPr>
          <w:rFonts w:cs="Times New Roman"/>
          <w:color w:val="000000" w:themeColor="text1"/>
        </w:rPr>
        <w:t>ем</w:t>
      </w:r>
      <w:r w:rsidRPr="0044196C">
        <w:rPr>
          <w:rFonts w:cs="Times New Roman"/>
          <w:color w:val="000000" w:themeColor="text1"/>
        </w:rPr>
        <w:t xml:space="preserve"> их эластичности</w:t>
      </w:r>
      <w:r w:rsidR="003078E3" w:rsidRPr="0044196C">
        <w:rPr>
          <w:rFonts w:cs="Times New Roman"/>
          <w:color w:val="000000" w:themeColor="text1"/>
        </w:rPr>
        <w:t xml:space="preserve"> вследствие нарушения фосфорно-кальциевого обмена и воздействия уремических токсинов. Таким образом</w:t>
      </w:r>
      <w:r w:rsidR="00254A3B" w:rsidRPr="0044196C">
        <w:rPr>
          <w:rFonts w:cs="Times New Roman"/>
          <w:color w:val="000000" w:themeColor="text1"/>
        </w:rPr>
        <w:t>,тяжесть АГ при ХБП</w:t>
      </w:r>
      <w:r w:rsidR="003078E3" w:rsidRPr="0044196C">
        <w:rPr>
          <w:rFonts w:cs="Times New Roman"/>
          <w:color w:val="000000" w:themeColor="text1"/>
        </w:rPr>
        <w:t xml:space="preserve">, в первую очередь, </w:t>
      </w:r>
      <w:r w:rsidR="00254A3B" w:rsidRPr="0044196C">
        <w:rPr>
          <w:rFonts w:cs="Times New Roman"/>
          <w:color w:val="000000" w:themeColor="text1"/>
        </w:rPr>
        <w:t>определяет САД</w:t>
      </w:r>
      <w:r w:rsidR="003078E3" w:rsidRPr="0044196C">
        <w:rPr>
          <w:rFonts w:cs="Times New Roman"/>
          <w:color w:val="000000" w:themeColor="text1"/>
        </w:rPr>
        <w:t xml:space="preserve">. </w:t>
      </w:r>
      <w:r w:rsidR="008D421C" w:rsidRPr="0044196C">
        <w:rPr>
          <w:rFonts w:cs="Times New Roman"/>
          <w:color w:val="000000" w:themeColor="text1"/>
        </w:rPr>
        <w:t>В</w:t>
      </w:r>
      <w:r w:rsidR="00C02AEA" w:rsidRPr="0044196C">
        <w:rPr>
          <w:rFonts w:cs="Times New Roman"/>
          <w:color w:val="000000" w:themeColor="text1"/>
        </w:rPr>
        <w:t xml:space="preserve"> соответствии с этим в</w:t>
      </w:r>
      <w:r w:rsidR="008D421C" w:rsidRPr="0044196C">
        <w:rPr>
          <w:rFonts w:cs="Times New Roman"/>
          <w:color w:val="000000" w:themeColor="text1"/>
        </w:rPr>
        <w:t xml:space="preserve">о многих клинических исследованиях, включающих пациентов с ХБП, уровень САД был использован в качестве </w:t>
      </w:r>
      <w:r w:rsidR="00254A3B" w:rsidRPr="0044196C">
        <w:rPr>
          <w:rFonts w:cs="Times New Roman"/>
          <w:color w:val="000000" w:themeColor="text1"/>
        </w:rPr>
        <w:t xml:space="preserve">основного </w:t>
      </w:r>
      <w:r w:rsidR="008D421C" w:rsidRPr="0044196C">
        <w:rPr>
          <w:rFonts w:cs="Times New Roman"/>
          <w:color w:val="000000" w:themeColor="text1"/>
        </w:rPr>
        <w:t xml:space="preserve">целевого показателя. </w:t>
      </w:r>
    </w:p>
    <w:p w:rsidR="00CE45FE" w:rsidRPr="0044196C" w:rsidRDefault="00CE45FE" w:rsidP="003078E3">
      <w:pPr>
        <w:tabs>
          <w:tab w:val="left" w:pos="3573"/>
        </w:tabs>
        <w:rPr>
          <w:rFonts w:cs="Times New Roman"/>
          <w:color w:val="000000" w:themeColor="text1"/>
        </w:rPr>
      </w:pPr>
    </w:p>
    <w:p w:rsidR="009E0B87" w:rsidRPr="0044196C" w:rsidRDefault="009E0B87" w:rsidP="00007519">
      <w:pPr>
        <w:pStyle w:val="a0"/>
        <w:keepNext w:val="0"/>
        <w:keepLines w:val="0"/>
        <w:numPr>
          <w:ilvl w:val="0"/>
          <w:numId w:val="0"/>
        </w:numPr>
        <w:ind w:left="357"/>
        <w:rPr>
          <w:color w:val="000000" w:themeColor="text1"/>
        </w:rPr>
      </w:pPr>
      <w:bookmarkStart w:id="15" w:name="_Toc279732192"/>
      <w:r w:rsidRPr="0044196C">
        <w:rPr>
          <w:color w:val="000000" w:themeColor="text1"/>
        </w:rPr>
        <w:t>Хроническая болезнь почек (ХБП) – наднозологическое понятие, объединяющее всех пациентов с</w:t>
      </w:r>
      <w:r w:rsidR="002A3A58" w:rsidRPr="0044196C">
        <w:rPr>
          <w:color w:val="000000" w:themeColor="text1"/>
        </w:rPr>
        <w:t xml:space="preserve"> признаками повреждения почек </w:t>
      </w:r>
      <w:r w:rsidRPr="0044196C">
        <w:rPr>
          <w:color w:val="000000" w:themeColor="text1"/>
        </w:rPr>
        <w:t xml:space="preserve">или </w:t>
      </w:r>
      <w:r w:rsidR="00254A3B" w:rsidRPr="0044196C">
        <w:rPr>
          <w:color w:val="000000" w:themeColor="text1"/>
        </w:rPr>
        <w:t xml:space="preserve">значительным </w:t>
      </w:r>
      <w:r w:rsidRPr="0044196C">
        <w:rPr>
          <w:color w:val="000000" w:themeColor="text1"/>
        </w:rPr>
        <w:t>снижением их функции</w:t>
      </w:r>
      <w:r w:rsidR="00254A3B" w:rsidRPr="0044196C">
        <w:rPr>
          <w:color w:val="000000" w:themeColor="text1"/>
        </w:rPr>
        <w:t xml:space="preserve"> (скорость клубочковой фильтрации ниже 60 мл/мин/1,73 м</w:t>
      </w:r>
      <w:r w:rsidR="00254A3B" w:rsidRPr="0044196C">
        <w:rPr>
          <w:color w:val="000000" w:themeColor="text1"/>
          <w:vertAlign w:val="superscript"/>
        </w:rPr>
        <w:t>2</w:t>
      </w:r>
      <w:r w:rsidR="00254A3B" w:rsidRPr="0044196C">
        <w:rPr>
          <w:color w:val="000000" w:themeColor="text1"/>
        </w:rPr>
        <w:t>)</w:t>
      </w:r>
      <w:r w:rsidRPr="0044196C">
        <w:rPr>
          <w:color w:val="000000" w:themeColor="text1"/>
        </w:rPr>
        <w:t>, сохраняющимися в течение 3 и более месяцев</w:t>
      </w:r>
      <w:r w:rsidR="00B971C6" w:rsidRPr="0044196C">
        <w:rPr>
          <w:color w:val="000000" w:themeColor="text1"/>
        </w:rPr>
        <w:t xml:space="preserve"> </w:t>
      </w:r>
      <w:r w:rsidR="009D7C63" w:rsidRPr="0044196C">
        <w:rPr>
          <w:color w:val="000000" w:themeColor="text1"/>
          <w:lang w:val="en-US"/>
        </w:rPr>
        <w:fldChar w:fldCharType="begin" w:fldLock="1"/>
      </w:r>
      <w:r w:rsidR="00EA3B99" w:rsidRPr="0044196C">
        <w:rPr>
          <w:color w:val="000000" w:themeColor="text1"/>
          <w:lang w:val="en-US"/>
        </w:rPr>
        <w:instrText>ADDIN</w:instrText>
      </w:r>
      <w:r w:rsidR="00EA3B99" w:rsidRPr="0044196C">
        <w:rPr>
          <w:color w:val="000000" w:themeColor="text1"/>
        </w:rPr>
        <w:instrText xml:space="preserve"> </w:instrText>
      </w:r>
      <w:r w:rsidR="00EA3B99" w:rsidRPr="0044196C">
        <w:rPr>
          <w:color w:val="000000" w:themeColor="text1"/>
          <w:lang w:val="en-US"/>
        </w:rPr>
        <w:instrText>CSL</w:instrText>
      </w:r>
      <w:r w:rsidR="00EA3B99" w:rsidRPr="0044196C">
        <w:rPr>
          <w:color w:val="000000" w:themeColor="text1"/>
        </w:rPr>
        <w:instrText>_</w:instrText>
      </w:r>
      <w:r w:rsidR="00EA3B99" w:rsidRPr="0044196C">
        <w:rPr>
          <w:color w:val="000000" w:themeColor="text1"/>
          <w:lang w:val="en-US"/>
        </w:rPr>
        <w:instrText>CITATION</w:instrText>
      </w:r>
      <w:r w:rsidR="00EA3B99" w:rsidRPr="0044196C">
        <w:rPr>
          <w:color w:val="000000" w:themeColor="text1"/>
        </w:rPr>
        <w:instrText xml:space="preserve"> { "</w:instrText>
      </w:r>
      <w:r w:rsidR="00EA3B99" w:rsidRPr="0044196C">
        <w:rPr>
          <w:color w:val="000000" w:themeColor="text1"/>
          <w:lang w:val="en-US"/>
        </w:rPr>
        <w:instrText>citationItems</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DOI</w:instrText>
      </w:r>
      <w:r w:rsidR="00EA3B99" w:rsidRPr="0044196C">
        <w:rPr>
          <w:color w:val="000000" w:themeColor="text1"/>
        </w:rPr>
        <w:instrText>" : "10.1038/</w:instrText>
      </w:r>
      <w:r w:rsidR="00EA3B99" w:rsidRPr="0044196C">
        <w:rPr>
          <w:color w:val="000000" w:themeColor="text1"/>
          <w:lang w:val="en-US"/>
        </w:rPr>
        <w:instrText>ki</w:instrText>
      </w:r>
      <w:r w:rsidR="00EA3B99" w:rsidRPr="0044196C">
        <w:rPr>
          <w:color w:val="000000" w:themeColor="text1"/>
        </w:rPr>
        <w:instrText>.2013.243", "</w:instrText>
      </w:r>
      <w:r w:rsidR="00EA3B99" w:rsidRPr="0044196C">
        <w:rPr>
          <w:color w:val="000000" w:themeColor="text1"/>
          <w:lang w:val="en-US"/>
        </w:rPr>
        <w:instrText>ISSN</w:instrText>
      </w:r>
      <w:r w:rsidR="00EA3B99" w:rsidRPr="0044196C">
        <w:rPr>
          <w:color w:val="000000" w:themeColor="text1"/>
        </w:rPr>
        <w:instrText>" : "1523-1755", "</w:instrText>
      </w:r>
      <w:r w:rsidR="00EA3B99" w:rsidRPr="0044196C">
        <w:rPr>
          <w:color w:val="000000" w:themeColor="text1"/>
          <w:lang w:val="en-US"/>
        </w:rPr>
        <w:instrText>PMID</w:instrText>
      </w:r>
      <w:r w:rsidR="00EA3B99" w:rsidRPr="0044196C">
        <w:rPr>
          <w:color w:val="000000" w:themeColor="text1"/>
        </w:rPr>
        <w:instrText>" : "23989362",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Disease</w:instrText>
      </w:r>
      <w:r w:rsidR="00EA3B99" w:rsidRPr="0044196C">
        <w:rPr>
          <w:color w:val="000000" w:themeColor="text1"/>
        </w:rPr>
        <w:instrText xml:space="preserve"> </w:instrText>
      </w:r>
      <w:r w:rsidR="00EA3B99" w:rsidRPr="0044196C">
        <w:rPr>
          <w:color w:val="000000" w:themeColor="text1"/>
          <w:lang w:val="en-US"/>
        </w:rPr>
        <w:instrText>Improving</w:instrText>
      </w:r>
      <w:r w:rsidR="00EA3B99" w:rsidRPr="0044196C">
        <w:rPr>
          <w:color w:val="000000" w:themeColor="text1"/>
        </w:rPr>
        <w:instrText xml:space="preserve"> </w:instrText>
      </w:r>
      <w:r w:rsidR="00EA3B99" w:rsidRPr="0044196C">
        <w:rPr>
          <w:color w:val="000000" w:themeColor="text1"/>
          <w:lang w:val="en-US"/>
        </w:rPr>
        <w:instrText>Global</w:instrText>
      </w:r>
      <w:r w:rsidR="00EA3B99" w:rsidRPr="0044196C">
        <w:rPr>
          <w:color w:val="000000" w:themeColor="text1"/>
        </w:rPr>
        <w:instrText xml:space="preserve"> </w:instrText>
      </w:r>
      <w:r w:rsidR="00EA3B99" w:rsidRPr="0044196C">
        <w:rPr>
          <w:color w:val="000000" w:themeColor="text1"/>
          <w:lang w:val="en-US"/>
        </w:rPr>
        <w:instrText>Outcomes</w:instrText>
      </w:r>
      <w:r w:rsidR="00EA3B99" w:rsidRPr="0044196C">
        <w:rPr>
          <w:color w:val="000000" w:themeColor="text1"/>
        </w:rPr>
        <w:instrText xml:space="preserve"> (</w:instrText>
      </w:r>
      <w:r w:rsidR="00EA3B99" w:rsidRPr="0044196C">
        <w:rPr>
          <w:color w:val="000000" w:themeColor="text1"/>
          <w:lang w:val="en-US"/>
        </w:rPr>
        <w:instrText>KDIGO</w:instrText>
      </w:r>
      <w:r w:rsidR="00EA3B99" w:rsidRPr="0044196C">
        <w:rPr>
          <w:color w:val="000000" w:themeColor="text1"/>
        </w:rPr>
        <w:instrText xml:space="preserve">) </w:instrText>
      </w:r>
      <w:r w:rsidR="00EA3B99" w:rsidRPr="0044196C">
        <w:rPr>
          <w:color w:val="000000" w:themeColor="text1"/>
          <w:lang w:val="en-US"/>
        </w:rPr>
        <w:instrText>CKD</w:instrText>
      </w:r>
      <w:r w:rsidR="00EA3B99" w:rsidRPr="0044196C">
        <w:rPr>
          <w:color w:val="000000" w:themeColor="text1"/>
        </w:rPr>
        <w:instrText xml:space="preserve"> </w:instrText>
      </w:r>
      <w:r w:rsidR="00EA3B99" w:rsidRPr="0044196C">
        <w:rPr>
          <w:color w:val="000000" w:themeColor="text1"/>
          <w:lang w:val="en-US"/>
        </w:rPr>
        <w:instrText>Work</w:instrText>
      </w:r>
      <w:r w:rsidR="00EA3B99" w:rsidRPr="0044196C">
        <w:rPr>
          <w:color w:val="000000" w:themeColor="text1"/>
        </w:rPr>
        <w:instrText xml:space="preserve"> </w:instrText>
      </w:r>
      <w:r w:rsidR="00EA3B99" w:rsidRPr="0044196C">
        <w:rPr>
          <w:color w:val="000000" w:themeColor="text1"/>
          <w:lang w:val="en-US"/>
        </w:rPr>
        <w:instrText>Group</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international</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issue</w:instrText>
      </w:r>
      <w:r w:rsidR="00EA3B99" w:rsidRPr="0044196C">
        <w:rPr>
          <w:color w:val="000000" w:themeColor="text1"/>
        </w:rPr>
        <w:instrText>" : "3 (1)",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"2013", "9" ] ] }, "</w:instrText>
      </w:r>
      <w:r w:rsidR="00EA3B99" w:rsidRPr="0044196C">
        <w:rPr>
          <w:color w:val="000000" w:themeColor="text1"/>
          <w:lang w:val="en-US"/>
        </w:rPr>
        <w:instrText>page</w:instrText>
      </w:r>
      <w:r w:rsidR="00EA3B99" w:rsidRPr="0044196C">
        <w:rPr>
          <w:color w:val="000000" w:themeColor="text1"/>
        </w:rPr>
        <w:instrText>" : "1-150",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KDIGO</w:instrText>
      </w:r>
      <w:r w:rsidR="00EA3B99" w:rsidRPr="0044196C">
        <w:rPr>
          <w:color w:val="000000" w:themeColor="text1"/>
        </w:rPr>
        <w:instrText xml:space="preserve"> 2012 </w:instrText>
      </w:r>
      <w:r w:rsidR="00EA3B99" w:rsidRPr="0044196C">
        <w:rPr>
          <w:color w:val="000000" w:themeColor="text1"/>
          <w:lang w:val="en-US"/>
        </w:rPr>
        <w:instrText>clinical</w:instrText>
      </w:r>
      <w:r w:rsidR="00EA3B99" w:rsidRPr="0044196C">
        <w:rPr>
          <w:color w:val="000000" w:themeColor="text1"/>
        </w:rPr>
        <w:instrText xml:space="preserve"> </w:instrText>
      </w:r>
      <w:r w:rsidR="00EA3B99" w:rsidRPr="0044196C">
        <w:rPr>
          <w:color w:val="000000" w:themeColor="text1"/>
          <w:lang w:val="en-US"/>
        </w:rPr>
        <w:instrText>practice</w:instrText>
      </w:r>
      <w:r w:rsidR="00EA3B99" w:rsidRPr="0044196C">
        <w:rPr>
          <w:color w:val="000000" w:themeColor="text1"/>
        </w:rPr>
        <w:instrText xml:space="preserve"> </w:instrText>
      </w:r>
      <w:r w:rsidR="00EA3B99" w:rsidRPr="0044196C">
        <w:rPr>
          <w:color w:val="000000" w:themeColor="text1"/>
          <w:lang w:val="en-US"/>
        </w:rPr>
        <w:instrText>guideline</w:instrText>
      </w:r>
      <w:r w:rsidR="00EA3B99" w:rsidRPr="0044196C">
        <w:rPr>
          <w:color w:val="000000" w:themeColor="text1"/>
        </w:rPr>
        <w:instrText xml:space="preserve"> </w:instrText>
      </w:r>
      <w:r w:rsidR="00EA3B99" w:rsidRPr="0044196C">
        <w:rPr>
          <w:color w:val="000000" w:themeColor="text1"/>
          <w:lang w:val="en-US"/>
        </w:rPr>
        <w:instrText>for</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evaluation</w:instrText>
      </w:r>
      <w:r w:rsidR="00EA3B99" w:rsidRPr="0044196C">
        <w:rPr>
          <w:color w:val="000000" w:themeColor="text1"/>
        </w:rPr>
        <w:instrText xml:space="preserve"> </w:instrText>
      </w:r>
      <w:r w:rsidR="00EA3B99" w:rsidRPr="0044196C">
        <w:rPr>
          <w:color w:val="000000" w:themeColor="text1"/>
          <w:lang w:val="en-US"/>
        </w:rPr>
        <w:instrText>and</w:instrText>
      </w:r>
      <w:r w:rsidR="00EA3B99" w:rsidRPr="0044196C">
        <w:rPr>
          <w:color w:val="000000" w:themeColor="text1"/>
        </w:rPr>
        <w:instrText xml:space="preserve"> </w:instrText>
      </w:r>
      <w:r w:rsidR="00EA3B99" w:rsidRPr="0044196C">
        <w:rPr>
          <w:color w:val="000000" w:themeColor="text1"/>
          <w:lang w:val="en-US"/>
        </w:rPr>
        <w:instrText>management</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chronic</w:instrText>
      </w:r>
      <w:r w:rsidR="00EA3B99" w:rsidRPr="0044196C">
        <w:rPr>
          <w:color w:val="000000" w:themeColor="text1"/>
        </w:rPr>
        <w:instrText xml:space="preserve">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disease</w:instrText>
      </w:r>
      <w:r w:rsidR="00EA3B99" w:rsidRPr="0044196C">
        <w:rPr>
          <w:color w:val="000000" w:themeColor="text1"/>
        </w:rPr>
        <w:instrText>",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w:instrText>
      </w:r>
      <w:r w:rsidR="00EA3B99" w:rsidRPr="0044196C">
        <w:rPr>
          <w:color w:val="000000" w:themeColor="text1"/>
          <w:lang w:val="en-US"/>
        </w:rPr>
        <w:instrText>Suppl</w:instrText>
      </w:r>
      <w:r w:rsidR="00EA3B99" w:rsidRPr="0044196C">
        <w:rPr>
          <w:color w:val="000000" w:themeColor="text1"/>
        </w:rPr>
        <w:instrText>"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=5</w:instrText>
      </w:r>
      <w:r w:rsidR="00EA3B99" w:rsidRPr="0044196C">
        <w:rPr>
          <w:color w:val="000000" w:themeColor="text1"/>
          <w:lang w:val="en-US"/>
        </w:rPr>
        <w:instrText>c</w:instrText>
      </w:r>
      <w:r w:rsidR="00EA3B99" w:rsidRPr="0044196C">
        <w:rPr>
          <w:color w:val="000000" w:themeColor="text1"/>
        </w:rPr>
        <w:instrText>67</w:instrText>
      </w:r>
      <w:r w:rsidR="00EA3B99" w:rsidRPr="0044196C">
        <w:rPr>
          <w:color w:val="000000" w:themeColor="text1"/>
          <w:lang w:val="en-US"/>
        </w:rPr>
        <w:instrText>faf</w:instrText>
      </w:r>
      <w:r w:rsidR="00EA3B99" w:rsidRPr="0044196C">
        <w:rPr>
          <w:color w:val="000000" w:themeColor="text1"/>
        </w:rPr>
        <w:instrText>2-1</w:instrText>
      </w:r>
      <w:r w:rsidR="00EA3B99" w:rsidRPr="0044196C">
        <w:rPr>
          <w:color w:val="000000" w:themeColor="text1"/>
          <w:lang w:val="en-US"/>
        </w:rPr>
        <w:instrText>f</w:instrText>
      </w:r>
      <w:r w:rsidR="00EA3B99" w:rsidRPr="0044196C">
        <w:rPr>
          <w:color w:val="000000" w:themeColor="text1"/>
        </w:rPr>
        <w:instrText>34-4</w:instrText>
      </w:r>
      <w:r w:rsidR="00EA3B99" w:rsidRPr="0044196C">
        <w:rPr>
          <w:color w:val="000000" w:themeColor="text1"/>
          <w:lang w:val="en-US"/>
        </w:rPr>
        <w:instrText>d</w:instrText>
      </w:r>
      <w:r w:rsidR="00EA3B99" w:rsidRPr="0044196C">
        <w:rPr>
          <w:color w:val="000000" w:themeColor="text1"/>
        </w:rPr>
        <w:instrText>7</w:instrText>
      </w:r>
      <w:r w:rsidR="00EA3B99" w:rsidRPr="0044196C">
        <w:rPr>
          <w:color w:val="000000" w:themeColor="text1"/>
          <w:lang w:val="en-US"/>
        </w:rPr>
        <w:instrText>c</w:instrText>
      </w:r>
      <w:r w:rsidR="00EA3B99" w:rsidRPr="0044196C">
        <w:rPr>
          <w:color w:val="000000" w:themeColor="text1"/>
        </w:rPr>
        <w:instrText>-8218-93057643</w:instrText>
      </w:r>
      <w:r w:rsidR="00EA3B99" w:rsidRPr="0044196C">
        <w:rPr>
          <w:color w:val="000000" w:themeColor="text1"/>
          <w:lang w:val="en-US"/>
        </w:rPr>
        <w:instrText>becc</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-2",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given</w:instrText>
      </w:r>
      <w:r w:rsidR="00EA3B99" w:rsidRPr="0044196C">
        <w:rPr>
          <w:color w:val="000000" w:themeColor="text1"/>
        </w:rPr>
        <w:instrText>" : "",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-2", "</w:instrText>
      </w:r>
      <w:r w:rsidR="00EA3B99" w:rsidRPr="0044196C">
        <w:rPr>
          <w:color w:val="000000" w:themeColor="text1"/>
          <w:lang w:val="en-US"/>
        </w:rPr>
        <w:instrText>issue</w:instrText>
      </w:r>
      <w:r w:rsidR="00EA3B99" w:rsidRPr="0044196C">
        <w:rPr>
          <w:color w:val="000000" w:themeColor="text1"/>
        </w:rPr>
        <w:instrText>" : "1",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"2012" ] ] }, "</w:instrText>
      </w:r>
      <w:r w:rsidR="00EA3B99" w:rsidRPr="0044196C">
        <w:rPr>
          <w:color w:val="000000" w:themeColor="text1"/>
          <w:lang w:val="en-US"/>
        </w:rPr>
        <w:instrText>page</w:instrText>
      </w:r>
      <w:r w:rsidR="00EA3B99" w:rsidRPr="0044196C">
        <w:rPr>
          <w:color w:val="000000" w:themeColor="text1"/>
        </w:rPr>
        <w:instrText>" : "15-89",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0445\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e</w:instrText>
      </w:r>
      <w:r w:rsidR="00EA3B99" w:rsidRPr="0044196C">
        <w:rPr>
          <w:color w:val="000000" w:themeColor="text1"/>
        </w:rPr>
        <w:instrText>.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0410.\</w:instrText>
      </w:r>
      <w:r w:rsidR="00EA3B99" w:rsidRPr="0044196C">
        <w:rPr>
          <w:color w:val="000000" w:themeColor="text1"/>
          <w:lang w:val="en-US"/>
        </w:rPr>
        <w:instrText>u</w:instrText>
      </w:r>
      <w:r w:rsidR="00EA3B99" w:rsidRPr="0044196C">
        <w:rPr>
          <w:color w:val="000000" w:themeColor="text1"/>
        </w:rPr>
        <w:instrText>0412.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"16"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=6</w:instrText>
      </w:r>
      <w:r w:rsidR="00EA3B99" w:rsidRPr="0044196C">
        <w:rPr>
          <w:color w:val="000000" w:themeColor="text1"/>
          <w:lang w:val="en-US"/>
        </w:rPr>
        <w:instrText>f</w:instrText>
      </w:r>
      <w:r w:rsidR="00EA3B99" w:rsidRPr="0044196C">
        <w:rPr>
          <w:color w:val="000000" w:themeColor="text1"/>
        </w:rPr>
        <w:instrText>3</w:instrText>
      </w:r>
      <w:r w:rsidR="00EA3B99" w:rsidRPr="0044196C">
        <w:rPr>
          <w:color w:val="000000" w:themeColor="text1"/>
          <w:lang w:val="en-US"/>
        </w:rPr>
        <w:instrText>f</w:instrText>
      </w:r>
      <w:r w:rsidR="00EA3B99" w:rsidRPr="0044196C">
        <w:rPr>
          <w:color w:val="000000" w:themeColor="text1"/>
        </w:rPr>
        <w:instrText>8</w:instrText>
      </w:r>
      <w:r w:rsidR="00EA3B99" w:rsidRPr="0044196C">
        <w:rPr>
          <w:color w:val="000000" w:themeColor="text1"/>
          <w:lang w:val="en-US"/>
        </w:rPr>
        <w:instrText>b</w:instrText>
      </w:r>
      <w:r w:rsidR="00EA3B99" w:rsidRPr="0044196C">
        <w:rPr>
          <w:color w:val="000000" w:themeColor="text1"/>
        </w:rPr>
        <w:instrText>87-741</w:instrText>
      </w:r>
      <w:r w:rsidR="00EA3B99" w:rsidRPr="0044196C">
        <w:rPr>
          <w:color w:val="000000" w:themeColor="text1"/>
          <w:lang w:val="en-US"/>
        </w:rPr>
        <w:instrText>f</w:instrText>
      </w:r>
      <w:r w:rsidR="00EA3B99" w:rsidRPr="0044196C">
        <w:rPr>
          <w:color w:val="000000" w:themeColor="text1"/>
        </w:rPr>
        <w:instrText>-475</w:instrText>
      </w:r>
      <w:r w:rsidR="00EA3B99" w:rsidRPr="0044196C">
        <w:rPr>
          <w:color w:val="000000" w:themeColor="text1"/>
          <w:lang w:val="en-US"/>
        </w:rPr>
        <w:instrText>c</w:instrText>
      </w:r>
      <w:r w:rsidR="00EA3B99" w:rsidRPr="0044196C">
        <w:rPr>
          <w:color w:val="000000" w:themeColor="text1"/>
        </w:rPr>
        <w:instrText>-9822-6</w:instrText>
      </w:r>
      <w:r w:rsidR="00EA3B99" w:rsidRPr="0044196C">
        <w:rPr>
          <w:color w:val="000000" w:themeColor="text1"/>
          <w:lang w:val="en-US"/>
        </w:rPr>
        <w:instrText>c</w:instrText>
      </w:r>
      <w:r w:rsidR="00EA3B99" w:rsidRPr="0044196C">
        <w:rPr>
          <w:color w:val="000000" w:themeColor="text1"/>
        </w:rPr>
        <w:instrText>7</w:instrText>
      </w:r>
      <w:r w:rsidR="00EA3B99" w:rsidRPr="0044196C">
        <w:rPr>
          <w:color w:val="000000" w:themeColor="text1"/>
          <w:lang w:val="en-US"/>
        </w:rPr>
        <w:instrText>a</w:instrText>
      </w:r>
      <w:r w:rsidR="00EA3B99" w:rsidRPr="0044196C">
        <w:rPr>
          <w:color w:val="000000" w:themeColor="text1"/>
        </w:rPr>
        <w:instrText>31</w:instrText>
      </w:r>
      <w:r w:rsidR="00EA3B99" w:rsidRPr="0044196C">
        <w:rPr>
          <w:color w:val="000000" w:themeColor="text1"/>
          <w:lang w:val="en-US"/>
        </w:rPr>
        <w:instrText>e</w:instrText>
      </w:r>
      <w:r w:rsidR="00EA3B99" w:rsidRPr="0044196C">
        <w:rPr>
          <w:color w:val="000000" w:themeColor="text1"/>
        </w:rPr>
        <w:instrText>6</w:instrText>
      </w:r>
      <w:r w:rsidR="00EA3B99" w:rsidRPr="0044196C">
        <w:rPr>
          <w:color w:val="000000" w:themeColor="text1"/>
          <w:lang w:val="en-US"/>
        </w:rPr>
        <w:instrText>f</w:instrText>
      </w:r>
      <w:r w:rsidR="00EA3B99" w:rsidRPr="0044196C">
        <w:rPr>
          <w:color w:val="000000" w:themeColor="text1"/>
        </w:rPr>
        <w:instrText>14</w:instrText>
      </w:r>
      <w:r w:rsidR="00EA3B99" w:rsidRPr="0044196C">
        <w:rPr>
          <w:color w:val="000000" w:themeColor="text1"/>
          <w:lang w:val="en-US"/>
        </w:rPr>
        <w:instrText>e</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-3",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given</w:instrText>
      </w:r>
      <w:r w:rsidR="00EA3B99" w:rsidRPr="0044196C">
        <w:rPr>
          <w:color w:val="000000" w:themeColor="text1"/>
        </w:rPr>
        <w:instrText>" : "",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-3", "</w:instrText>
      </w:r>
      <w:r w:rsidR="00EA3B99" w:rsidRPr="0044196C">
        <w:rPr>
          <w:color w:val="000000" w:themeColor="text1"/>
          <w:lang w:val="en-US"/>
        </w:rPr>
        <w:instrText>issue</w:instrText>
      </w:r>
      <w:r w:rsidR="00EA3B99" w:rsidRPr="0044196C">
        <w:rPr>
          <w:color w:val="000000" w:themeColor="text1"/>
        </w:rPr>
        <w:instrText>" : "2",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"2014" ] ] }, "</w:instrText>
      </w:r>
      <w:r w:rsidR="00EA3B99" w:rsidRPr="0044196C">
        <w:rPr>
          <w:color w:val="000000" w:themeColor="text1"/>
          <w:lang w:val="en-US"/>
        </w:rPr>
        <w:instrText>page</w:instrText>
      </w:r>
      <w:r w:rsidR="00EA3B99" w:rsidRPr="0044196C">
        <w:rPr>
          <w:color w:val="000000" w:themeColor="text1"/>
        </w:rPr>
        <w:instrText>" : "4-29",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0443\</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0439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0445\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0412.\</w:instrText>
      </w:r>
      <w:r w:rsidR="00EA3B99" w:rsidRPr="0044196C">
        <w:rPr>
          <w:color w:val="000000" w:themeColor="text1"/>
          <w:lang w:val="en-US"/>
        </w:rPr>
        <w:instrText>u</w:instrText>
      </w:r>
      <w:r w:rsidR="00EA3B99" w:rsidRPr="0044196C">
        <w:rPr>
          <w:color w:val="000000" w:themeColor="text1"/>
        </w:rPr>
        <w:instrText>0421.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0410.\</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0443\</w:instrText>
      </w:r>
      <w:r w:rsidR="00EA3B99" w:rsidRPr="0044196C">
        <w:rPr>
          <w:color w:val="000000" w:themeColor="text1"/>
          <w:lang w:val="en-US"/>
        </w:rPr>
        <w:instrText>u</w:instrText>
      </w:r>
      <w:r w:rsidR="00EA3B99" w:rsidRPr="0044196C">
        <w:rPr>
          <w:color w:val="000000" w:themeColor="text1"/>
        </w:rPr>
        <w:instrText>0445\</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w:instrText>
      </w:r>
      <w:r w:rsidR="00EA3B99" w:rsidRPr="0044196C">
        <w:rPr>
          <w:color w:val="000000" w:themeColor="text1"/>
          <w:lang w:val="en-US"/>
        </w:rPr>
        <w:instrText>abc</w:instrText>
      </w:r>
      <w:r w:rsidR="00EA3B99" w:rsidRPr="0044196C">
        <w:rPr>
          <w:color w:val="000000" w:themeColor="text1"/>
        </w:rPr>
        <w:instrText>5</w:instrText>
      </w:r>
      <w:r w:rsidR="00EA3B99" w:rsidRPr="0044196C">
        <w:rPr>
          <w:color w:val="000000" w:themeColor="text1"/>
          <w:lang w:val="en-US"/>
        </w:rPr>
        <w:instrText>b</w:instrText>
      </w:r>
      <w:r w:rsidR="00EA3B99" w:rsidRPr="0044196C">
        <w:rPr>
          <w:color w:val="000000" w:themeColor="text1"/>
        </w:rPr>
        <w:instrText>621-</w:instrText>
      </w:r>
      <w:r w:rsidR="00EA3B99" w:rsidRPr="0044196C">
        <w:rPr>
          <w:color w:val="000000" w:themeColor="text1"/>
          <w:lang w:val="en-US"/>
        </w:rPr>
        <w:instrText>a</w:instrText>
      </w:r>
      <w:r w:rsidR="00EA3B99" w:rsidRPr="0044196C">
        <w:rPr>
          <w:color w:val="000000" w:themeColor="text1"/>
        </w:rPr>
        <w:instrText>90</w:instrText>
      </w:r>
      <w:r w:rsidR="00EA3B99" w:rsidRPr="0044196C">
        <w:rPr>
          <w:color w:val="000000" w:themeColor="text1"/>
          <w:lang w:val="en-US"/>
        </w:rPr>
        <w:instrText>d</w:instrText>
      </w:r>
      <w:r w:rsidR="00EA3B99" w:rsidRPr="0044196C">
        <w:rPr>
          <w:color w:val="000000" w:themeColor="text1"/>
        </w:rPr>
        <w:instrText>-4650-83</w:instrText>
      </w:r>
      <w:r w:rsidR="00EA3B99" w:rsidRPr="0044196C">
        <w:rPr>
          <w:color w:val="000000" w:themeColor="text1"/>
          <w:lang w:val="en-US"/>
        </w:rPr>
        <w:instrText>a</w:instrText>
      </w:r>
      <w:r w:rsidR="00EA3B99" w:rsidRPr="0044196C">
        <w:rPr>
          <w:color w:val="000000" w:themeColor="text1"/>
        </w:rPr>
        <w:instrText>6-1</w:instrText>
      </w:r>
      <w:r w:rsidR="00EA3B99" w:rsidRPr="0044196C">
        <w:rPr>
          <w:color w:val="000000" w:themeColor="text1"/>
          <w:lang w:val="en-US"/>
        </w:rPr>
        <w:instrText>c</w:instrText>
      </w:r>
      <w:r w:rsidR="00EA3B99" w:rsidRPr="0044196C">
        <w:rPr>
          <w:color w:val="000000" w:themeColor="text1"/>
        </w:rPr>
        <w:instrText>06</w:instrText>
      </w:r>
      <w:r w:rsidR="00EA3B99" w:rsidRPr="0044196C">
        <w:rPr>
          <w:color w:val="000000" w:themeColor="text1"/>
          <w:lang w:val="en-US"/>
        </w:rPr>
        <w:instrText>abc</w:instrText>
      </w:r>
      <w:r w:rsidR="00EA3B99" w:rsidRPr="0044196C">
        <w:rPr>
          <w:color w:val="000000" w:themeColor="text1"/>
        </w:rPr>
        <w:instrText>90498" ] } ], "</w:instrText>
      </w:r>
      <w:r w:rsidR="00EA3B99" w:rsidRPr="0044196C">
        <w:rPr>
          <w:color w:val="000000" w:themeColor="text1"/>
          <w:lang w:val="en-US"/>
        </w:rPr>
        <w:instrText>mendeley</w:instrText>
      </w:r>
      <w:r w:rsidR="00EA3B99" w:rsidRPr="0044196C">
        <w:rPr>
          <w:color w:val="000000" w:themeColor="text1"/>
        </w:rPr>
        <w:instrText>" : { "</w:instrText>
      </w:r>
      <w:r w:rsidR="00EA3B99" w:rsidRPr="0044196C">
        <w:rPr>
          <w:color w:val="000000" w:themeColor="text1"/>
          <w:lang w:val="en-US"/>
        </w:rPr>
        <w:instrText>previouslyFormattedCitation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2012;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 xml:space="preserve">0438, 2014;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Disease</w:instrText>
      </w:r>
      <w:r w:rsidR="00EA3B99" w:rsidRPr="0044196C">
        <w:rPr>
          <w:color w:val="000000" w:themeColor="text1"/>
        </w:rPr>
        <w:instrText xml:space="preserve"> </w:instrText>
      </w:r>
      <w:r w:rsidR="00EA3B99" w:rsidRPr="0044196C">
        <w:rPr>
          <w:color w:val="000000" w:themeColor="text1"/>
          <w:lang w:val="en-US"/>
        </w:rPr>
        <w:instrText>Improving</w:instrText>
      </w:r>
      <w:r w:rsidR="00EA3B99" w:rsidRPr="0044196C">
        <w:rPr>
          <w:color w:val="000000" w:themeColor="text1"/>
        </w:rPr>
        <w:instrText xml:space="preserve"> </w:instrText>
      </w:r>
      <w:r w:rsidR="00EA3B99" w:rsidRPr="0044196C">
        <w:rPr>
          <w:color w:val="000000" w:themeColor="text1"/>
          <w:lang w:val="en-US"/>
        </w:rPr>
        <w:instrText>Global</w:instrText>
      </w:r>
      <w:r w:rsidR="00EA3B99" w:rsidRPr="0044196C">
        <w:rPr>
          <w:color w:val="000000" w:themeColor="text1"/>
        </w:rPr>
        <w:instrText xml:space="preserve"> </w:instrText>
      </w:r>
      <w:r w:rsidR="00EA3B99" w:rsidRPr="0044196C">
        <w:rPr>
          <w:color w:val="000000" w:themeColor="text1"/>
          <w:lang w:val="en-US"/>
        </w:rPr>
        <w:instrText>Outcomes</w:instrText>
      </w:r>
      <w:r w:rsidR="00EA3B99" w:rsidRPr="0044196C">
        <w:rPr>
          <w:color w:val="000000" w:themeColor="text1"/>
        </w:rPr>
        <w:instrText xml:space="preserve"> (</w:instrText>
      </w:r>
      <w:r w:rsidR="00EA3B99" w:rsidRPr="0044196C">
        <w:rPr>
          <w:color w:val="000000" w:themeColor="text1"/>
          <w:lang w:val="en-US"/>
        </w:rPr>
        <w:instrText>KDIGO</w:instrText>
      </w:r>
      <w:r w:rsidR="00EA3B99" w:rsidRPr="0044196C">
        <w:rPr>
          <w:color w:val="000000" w:themeColor="text1"/>
        </w:rPr>
        <w:instrText xml:space="preserve">) </w:instrText>
      </w:r>
      <w:r w:rsidR="00EA3B99" w:rsidRPr="0044196C">
        <w:rPr>
          <w:color w:val="000000" w:themeColor="text1"/>
          <w:lang w:val="en-US"/>
        </w:rPr>
        <w:instrText>CKD</w:instrText>
      </w:r>
      <w:r w:rsidR="00EA3B99" w:rsidRPr="0044196C">
        <w:rPr>
          <w:color w:val="000000" w:themeColor="text1"/>
        </w:rPr>
        <w:instrText xml:space="preserve"> </w:instrText>
      </w:r>
      <w:r w:rsidR="00EA3B99" w:rsidRPr="0044196C">
        <w:rPr>
          <w:color w:val="000000" w:themeColor="text1"/>
          <w:lang w:val="en-US"/>
        </w:rPr>
        <w:instrText>Work</w:instrText>
      </w:r>
      <w:r w:rsidR="00EA3B99" w:rsidRPr="0044196C">
        <w:rPr>
          <w:color w:val="000000" w:themeColor="text1"/>
        </w:rPr>
        <w:instrText xml:space="preserve"> </w:instrText>
      </w:r>
      <w:r w:rsidR="00EA3B99" w:rsidRPr="0044196C">
        <w:rPr>
          <w:color w:val="000000" w:themeColor="text1"/>
          <w:lang w:val="en-US"/>
        </w:rPr>
        <w:instrText>Group</w:instrText>
      </w:r>
      <w:r w:rsidR="00EA3B99" w:rsidRPr="0044196C">
        <w:rPr>
          <w:color w:val="000000" w:themeColor="text1"/>
        </w:rPr>
        <w:instrText>, 2013]" }, "</w:instrText>
      </w:r>
      <w:r w:rsidR="00EA3B99" w:rsidRPr="0044196C">
        <w:rPr>
          <w:color w:val="000000" w:themeColor="text1"/>
          <w:lang w:val="en-US"/>
        </w:rPr>
        <w:instrText>properties</w:instrText>
      </w:r>
      <w:r w:rsidR="00EA3B99" w:rsidRPr="0044196C">
        <w:rPr>
          <w:color w:val="000000" w:themeColor="text1"/>
        </w:rPr>
        <w:instrText>" : { "</w:instrText>
      </w:r>
      <w:r w:rsidR="00EA3B99" w:rsidRPr="0044196C">
        <w:rPr>
          <w:color w:val="000000" w:themeColor="text1"/>
          <w:lang w:val="en-US"/>
        </w:rPr>
        <w:instrText>noteIndex</w:instrText>
      </w:r>
      <w:r w:rsidR="00EA3B99" w:rsidRPr="0044196C">
        <w:rPr>
          <w:color w:val="000000" w:themeColor="text1"/>
        </w:rPr>
        <w:instrText>" : 0 }, "</w:instrText>
      </w:r>
      <w:r w:rsidR="00EA3B99" w:rsidRPr="0044196C">
        <w:rPr>
          <w:color w:val="000000" w:themeColor="text1"/>
          <w:lang w:val="en-US"/>
        </w:rPr>
        <w:instrText>schema</w:instrText>
      </w:r>
      <w:r w:rsidR="00EA3B99" w:rsidRPr="0044196C">
        <w:rPr>
          <w:color w:val="000000" w:themeColor="text1"/>
        </w:rPr>
        <w:instrText>" : "</w:instrText>
      </w:r>
      <w:r w:rsidR="00EA3B99" w:rsidRPr="0044196C">
        <w:rPr>
          <w:color w:val="000000" w:themeColor="text1"/>
          <w:lang w:val="en-US"/>
        </w:rPr>
        <w:instrText>https</w:instrText>
      </w:r>
      <w:r w:rsidR="00EA3B99" w:rsidRPr="0044196C">
        <w:rPr>
          <w:color w:val="000000" w:themeColor="text1"/>
        </w:rPr>
        <w:instrText>://</w:instrText>
      </w:r>
      <w:r w:rsidR="00EA3B99" w:rsidRPr="0044196C">
        <w:rPr>
          <w:color w:val="000000" w:themeColor="text1"/>
          <w:lang w:val="en-US"/>
        </w:rPr>
        <w:instrText>github</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style</w:instrText>
      </w:r>
      <w:r w:rsidR="00EA3B99" w:rsidRPr="0044196C">
        <w:rPr>
          <w:color w:val="000000" w:themeColor="text1"/>
        </w:rPr>
        <w:instrText>-</w:instrText>
      </w:r>
      <w:r w:rsidR="00EA3B99" w:rsidRPr="0044196C">
        <w:rPr>
          <w:color w:val="000000" w:themeColor="text1"/>
          <w:lang w:val="en-US"/>
        </w:rPr>
        <w:instrText>language</w:instrText>
      </w:r>
      <w:r w:rsidR="00EA3B99" w:rsidRPr="0044196C">
        <w:rPr>
          <w:color w:val="000000" w:themeColor="text1"/>
        </w:rPr>
        <w:instrText>/</w:instrText>
      </w:r>
      <w:r w:rsidR="00EA3B99" w:rsidRPr="0044196C">
        <w:rPr>
          <w:color w:val="000000" w:themeColor="text1"/>
          <w:lang w:val="en-US"/>
        </w:rPr>
        <w:instrText>schema</w:instrText>
      </w:r>
      <w:r w:rsidR="00EA3B99" w:rsidRPr="0044196C">
        <w:rPr>
          <w:color w:val="000000" w:themeColor="text1"/>
        </w:rPr>
        <w:instrText>/</w:instrText>
      </w:r>
      <w:r w:rsidR="00EA3B99" w:rsidRPr="0044196C">
        <w:rPr>
          <w:color w:val="000000" w:themeColor="text1"/>
          <w:lang w:val="en-US"/>
        </w:rPr>
        <w:instrText>raw</w:instrText>
      </w:r>
      <w:r w:rsidR="00EA3B99" w:rsidRPr="0044196C">
        <w:rPr>
          <w:color w:val="000000" w:themeColor="text1"/>
        </w:rPr>
        <w:instrText>/</w:instrText>
      </w:r>
      <w:r w:rsidR="00EA3B99" w:rsidRPr="0044196C">
        <w:rPr>
          <w:color w:val="000000" w:themeColor="text1"/>
          <w:lang w:val="en-US"/>
        </w:rPr>
        <w:instrText>master</w:instrText>
      </w:r>
      <w:r w:rsidR="00EA3B99" w:rsidRPr="0044196C">
        <w:rPr>
          <w:color w:val="000000" w:themeColor="text1"/>
        </w:rPr>
        <w:instrText>/</w:instrText>
      </w:r>
      <w:r w:rsidR="00EA3B99" w:rsidRPr="0044196C">
        <w:rPr>
          <w:color w:val="000000" w:themeColor="text1"/>
          <w:lang w:val="en-US"/>
        </w:rPr>
        <w:instrText>csl</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json</w:instrText>
      </w:r>
      <w:r w:rsidR="00EA3B99" w:rsidRPr="0044196C">
        <w:rPr>
          <w:color w:val="000000" w:themeColor="text1"/>
        </w:rPr>
        <w:instrText>" }</w:instrText>
      </w:r>
      <w:r w:rsidR="009D7C63" w:rsidRPr="0044196C">
        <w:rPr>
          <w:color w:val="000000" w:themeColor="text1"/>
          <w:lang w:val="en-US"/>
        </w:rPr>
        <w:fldChar w:fldCharType="separate"/>
      </w:r>
      <w:r w:rsidR="00EA3B99" w:rsidRPr="0044196C">
        <w:rPr>
          <w:b w:val="0"/>
          <w:noProof/>
          <w:color w:val="000000" w:themeColor="text1"/>
        </w:rPr>
        <w:t xml:space="preserve">[Национальные рекомендации, 2012; Национальные рекомендации, 2014; </w:t>
      </w:r>
      <w:r w:rsidR="00EA3B99" w:rsidRPr="0044196C">
        <w:rPr>
          <w:b w:val="0"/>
          <w:noProof/>
          <w:color w:val="000000" w:themeColor="text1"/>
          <w:lang w:val="en-US"/>
        </w:rPr>
        <w:t>Kidney</w:t>
      </w:r>
      <w:r w:rsidR="00EA3B99" w:rsidRPr="0044196C">
        <w:rPr>
          <w:b w:val="0"/>
          <w:noProof/>
          <w:color w:val="000000" w:themeColor="text1"/>
        </w:rPr>
        <w:t xml:space="preserve"> </w:t>
      </w:r>
      <w:r w:rsidR="00EA3B99" w:rsidRPr="0044196C">
        <w:rPr>
          <w:b w:val="0"/>
          <w:noProof/>
          <w:color w:val="000000" w:themeColor="text1"/>
          <w:lang w:val="en-US"/>
        </w:rPr>
        <w:t>Disease</w:t>
      </w:r>
      <w:r w:rsidR="00EA3B99" w:rsidRPr="0044196C">
        <w:rPr>
          <w:b w:val="0"/>
          <w:noProof/>
          <w:color w:val="000000" w:themeColor="text1"/>
        </w:rPr>
        <w:t xml:space="preserve"> </w:t>
      </w:r>
      <w:r w:rsidR="00EA3B99" w:rsidRPr="0044196C">
        <w:rPr>
          <w:b w:val="0"/>
          <w:noProof/>
          <w:color w:val="000000" w:themeColor="text1"/>
          <w:lang w:val="en-US"/>
        </w:rPr>
        <w:t>Improving</w:t>
      </w:r>
      <w:r w:rsidR="00EA3B99" w:rsidRPr="0044196C">
        <w:rPr>
          <w:b w:val="0"/>
          <w:noProof/>
          <w:color w:val="000000" w:themeColor="text1"/>
        </w:rPr>
        <w:t xml:space="preserve"> </w:t>
      </w:r>
      <w:r w:rsidR="00EA3B99" w:rsidRPr="0044196C">
        <w:rPr>
          <w:b w:val="0"/>
          <w:noProof/>
          <w:color w:val="000000" w:themeColor="text1"/>
          <w:lang w:val="en-US"/>
        </w:rPr>
        <w:t>Global</w:t>
      </w:r>
      <w:r w:rsidR="00EA3B99" w:rsidRPr="0044196C">
        <w:rPr>
          <w:b w:val="0"/>
          <w:noProof/>
          <w:color w:val="000000" w:themeColor="text1"/>
        </w:rPr>
        <w:t xml:space="preserve"> </w:t>
      </w:r>
      <w:r w:rsidR="00EA3B99" w:rsidRPr="0044196C">
        <w:rPr>
          <w:b w:val="0"/>
          <w:noProof/>
          <w:color w:val="000000" w:themeColor="text1"/>
          <w:lang w:val="en-US"/>
        </w:rPr>
        <w:t>Outcomes</w:t>
      </w:r>
      <w:r w:rsidR="00EA3B99" w:rsidRPr="0044196C">
        <w:rPr>
          <w:b w:val="0"/>
          <w:noProof/>
          <w:color w:val="000000" w:themeColor="text1"/>
        </w:rPr>
        <w:t xml:space="preserve"> (</w:t>
      </w:r>
      <w:r w:rsidR="00EA3B99" w:rsidRPr="0044196C">
        <w:rPr>
          <w:b w:val="0"/>
          <w:noProof/>
          <w:color w:val="000000" w:themeColor="text1"/>
          <w:lang w:val="en-US"/>
        </w:rPr>
        <w:t>KDIGO</w:t>
      </w:r>
      <w:r w:rsidR="00EA3B99" w:rsidRPr="0044196C">
        <w:rPr>
          <w:b w:val="0"/>
          <w:noProof/>
          <w:color w:val="000000" w:themeColor="text1"/>
        </w:rPr>
        <w:t xml:space="preserve">) </w:t>
      </w:r>
      <w:r w:rsidR="00EA3B99" w:rsidRPr="0044196C">
        <w:rPr>
          <w:b w:val="0"/>
          <w:noProof/>
          <w:color w:val="000000" w:themeColor="text1"/>
          <w:lang w:val="en-US"/>
        </w:rPr>
        <w:t>CKD</w:t>
      </w:r>
      <w:r w:rsidR="00EA3B99" w:rsidRPr="0044196C">
        <w:rPr>
          <w:b w:val="0"/>
          <w:noProof/>
          <w:color w:val="000000" w:themeColor="text1"/>
        </w:rPr>
        <w:t xml:space="preserve"> </w:t>
      </w:r>
      <w:r w:rsidR="00EA3B99" w:rsidRPr="0044196C">
        <w:rPr>
          <w:b w:val="0"/>
          <w:noProof/>
          <w:color w:val="000000" w:themeColor="text1"/>
          <w:lang w:val="en-US"/>
        </w:rPr>
        <w:t>Work</w:t>
      </w:r>
      <w:r w:rsidR="00EA3B99" w:rsidRPr="0044196C">
        <w:rPr>
          <w:b w:val="0"/>
          <w:noProof/>
          <w:color w:val="000000" w:themeColor="text1"/>
        </w:rPr>
        <w:t xml:space="preserve"> </w:t>
      </w:r>
      <w:r w:rsidR="00EA3B99" w:rsidRPr="0044196C">
        <w:rPr>
          <w:b w:val="0"/>
          <w:noProof/>
          <w:color w:val="000000" w:themeColor="text1"/>
          <w:lang w:val="en-US"/>
        </w:rPr>
        <w:t>Group</w:t>
      </w:r>
      <w:r w:rsidR="00EA3B99" w:rsidRPr="0044196C">
        <w:rPr>
          <w:b w:val="0"/>
          <w:noProof/>
          <w:color w:val="000000" w:themeColor="text1"/>
        </w:rPr>
        <w:t>, 2013]</w:t>
      </w:r>
      <w:r w:rsidR="009D7C63" w:rsidRPr="0044196C">
        <w:rPr>
          <w:color w:val="000000" w:themeColor="text1"/>
          <w:lang w:val="en-US"/>
        </w:rPr>
        <w:fldChar w:fldCharType="end"/>
      </w:r>
      <w:r w:rsidRPr="0044196C">
        <w:rPr>
          <w:color w:val="000000" w:themeColor="text1"/>
        </w:rPr>
        <w:t>.</w:t>
      </w:r>
      <w:bookmarkEnd w:id="15"/>
    </w:p>
    <w:p w:rsidR="009E0B87" w:rsidRPr="0044196C" w:rsidRDefault="009E0B87" w:rsidP="002C3C24">
      <w:pPr>
        <w:pStyle w:val="af4"/>
        <w:rPr>
          <w:rFonts w:cs="Times New Roman"/>
          <w:color w:val="000000" w:themeColor="text1"/>
        </w:rPr>
      </w:pPr>
      <w:bookmarkStart w:id="16" w:name="_Ref279581910"/>
      <w:r w:rsidRPr="0044196C">
        <w:rPr>
          <w:color w:val="000000" w:themeColor="text1"/>
        </w:rPr>
        <w:lastRenderedPageBreak/>
        <w:t xml:space="preserve">Таблица </w:t>
      </w:r>
      <w:r w:rsidR="009D7C63" w:rsidRPr="0044196C">
        <w:rPr>
          <w:color w:val="000000" w:themeColor="text1"/>
        </w:rPr>
        <w:fldChar w:fldCharType="begin"/>
      </w:r>
      <w:r w:rsidR="001647A9" w:rsidRPr="0044196C">
        <w:rPr>
          <w:color w:val="000000" w:themeColor="text1"/>
        </w:rPr>
        <w:instrText xml:space="preserve"> SEQ Таблица \* ARABIC </w:instrText>
      </w:r>
      <w:r w:rsidR="009D7C63" w:rsidRPr="0044196C">
        <w:rPr>
          <w:color w:val="000000" w:themeColor="text1"/>
        </w:rPr>
        <w:fldChar w:fldCharType="separate"/>
      </w:r>
      <w:r w:rsidR="00DF40EA" w:rsidRPr="0044196C">
        <w:rPr>
          <w:noProof/>
          <w:color w:val="000000" w:themeColor="text1"/>
        </w:rPr>
        <w:t>4</w:t>
      </w:r>
      <w:r w:rsidR="009D7C63" w:rsidRPr="0044196C">
        <w:rPr>
          <w:noProof/>
          <w:color w:val="000000" w:themeColor="text1"/>
        </w:rPr>
        <w:fldChar w:fldCharType="end"/>
      </w:r>
      <w:bookmarkEnd w:id="16"/>
    </w:p>
    <w:p w:rsidR="009E0B87" w:rsidRPr="0044196C" w:rsidRDefault="001C53FE" w:rsidP="002C3C24">
      <w:pPr>
        <w:pStyle w:val="af4"/>
        <w:rPr>
          <w:color w:val="000000" w:themeColor="text1"/>
        </w:rPr>
      </w:pPr>
      <w:r w:rsidRPr="0044196C">
        <w:rPr>
          <w:rFonts w:ascii="Times New Roman" w:hAnsi="Times New Roman"/>
          <w:color w:val="000000" w:themeColor="text1"/>
          <w:kern w:val="3"/>
          <w:szCs w:val="24"/>
        </w:rPr>
        <w:t>Классификация ХБП по уровню СКФ</w:t>
      </w:r>
      <w:r w:rsidR="00B971C6" w:rsidRPr="0044196C">
        <w:rPr>
          <w:rFonts w:ascii="Times New Roman" w:hAnsi="Times New Roman"/>
          <w:color w:val="000000" w:themeColor="text1"/>
          <w:kern w:val="3"/>
          <w:szCs w:val="24"/>
        </w:rPr>
        <w:t xml:space="preserve"> </w:t>
      </w:r>
      <w:r w:rsidR="009D7C63" w:rsidRPr="0044196C">
        <w:rPr>
          <w:color w:val="000000" w:themeColor="text1"/>
          <w:lang w:val="en-US"/>
        </w:rPr>
        <w:fldChar w:fldCharType="begin" w:fldLock="1"/>
      </w:r>
      <w:r w:rsidR="00EA3B99" w:rsidRPr="0044196C">
        <w:rPr>
          <w:color w:val="000000" w:themeColor="text1"/>
          <w:lang w:val="en-US"/>
        </w:rPr>
        <w:instrText>ADDIN</w:instrText>
      </w:r>
      <w:r w:rsidR="00EA3B99" w:rsidRPr="0044196C">
        <w:rPr>
          <w:color w:val="000000" w:themeColor="text1"/>
        </w:rPr>
        <w:instrText xml:space="preserve"> </w:instrText>
      </w:r>
      <w:r w:rsidR="00EA3B99" w:rsidRPr="0044196C">
        <w:rPr>
          <w:color w:val="000000" w:themeColor="text1"/>
          <w:lang w:val="en-US"/>
        </w:rPr>
        <w:instrText>CSL</w:instrText>
      </w:r>
      <w:r w:rsidR="00EA3B99" w:rsidRPr="0044196C">
        <w:rPr>
          <w:color w:val="000000" w:themeColor="text1"/>
        </w:rPr>
        <w:instrText>_</w:instrText>
      </w:r>
      <w:r w:rsidR="00EA3B99" w:rsidRPr="0044196C">
        <w:rPr>
          <w:color w:val="000000" w:themeColor="text1"/>
          <w:lang w:val="en-US"/>
        </w:rPr>
        <w:instrText>CITATION</w:instrText>
      </w:r>
      <w:r w:rsidR="00EA3B99" w:rsidRPr="0044196C">
        <w:rPr>
          <w:color w:val="000000" w:themeColor="text1"/>
        </w:rPr>
        <w:instrText xml:space="preserve"> { "</w:instrText>
      </w:r>
      <w:r w:rsidR="00EA3B99" w:rsidRPr="0044196C">
        <w:rPr>
          <w:color w:val="000000" w:themeColor="text1"/>
          <w:lang w:val="en-US"/>
        </w:rPr>
        <w:instrText>citationItems</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DOI</w:instrText>
      </w:r>
      <w:r w:rsidR="00EA3B99" w:rsidRPr="0044196C">
        <w:rPr>
          <w:color w:val="000000" w:themeColor="text1"/>
        </w:rPr>
        <w:instrText>" : "10.1038/</w:instrText>
      </w:r>
      <w:r w:rsidR="00EA3B99" w:rsidRPr="0044196C">
        <w:rPr>
          <w:color w:val="000000" w:themeColor="text1"/>
          <w:lang w:val="en-US"/>
        </w:rPr>
        <w:instrText>ki</w:instrText>
      </w:r>
      <w:r w:rsidR="00EA3B99" w:rsidRPr="0044196C">
        <w:rPr>
          <w:color w:val="000000" w:themeColor="text1"/>
        </w:rPr>
        <w:instrText>.2013.243", "</w:instrText>
      </w:r>
      <w:r w:rsidR="00EA3B99" w:rsidRPr="0044196C">
        <w:rPr>
          <w:color w:val="000000" w:themeColor="text1"/>
          <w:lang w:val="en-US"/>
        </w:rPr>
        <w:instrText>ISSN</w:instrText>
      </w:r>
      <w:r w:rsidR="00EA3B99" w:rsidRPr="0044196C">
        <w:rPr>
          <w:color w:val="000000" w:themeColor="text1"/>
        </w:rPr>
        <w:instrText>" : "1523-1755", "</w:instrText>
      </w:r>
      <w:r w:rsidR="00EA3B99" w:rsidRPr="0044196C">
        <w:rPr>
          <w:color w:val="000000" w:themeColor="text1"/>
          <w:lang w:val="en-US"/>
        </w:rPr>
        <w:instrText>PMID</w:instrText>
      </w:r>
      <w:r w:rsidR="00EA3B99" w:rsidRPr="0044196C">
        <w:rPr>
          <w:color w:val="000000" w:themeColor="text1"/>
        </w:rPr>
        <w:instrText>" : "23989362",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Disease</w:instrText>
      </w:r>
      <w:r w:rsidR="00EA3B99" w:rsidRPr="0044196C">
        <w:rPr>
          <w:color w:val="000000" w:themeColor="text1"/>
        </w:rPr>
        <w:instrText xml:space="preserve"> </w:instrText>
      </w:r>
      <w:r w:rsidR="00EA3B99" w:rsidRPr="0044196C">
        <w:rPr>
          <w:color w:val="000000" w:themeColor="text1"/>
          <w:lang w:val="en-US"/>
        </w:rPr>
        <w:instrText>Improving</w:instrText>
      </w:r>
      <w:r w:rsidR="00EA3B99" w:rsidRPr="0044196C">
        <w:rPr>
          <w:color w:val="000000" w:themeColor="text1"/>
        </w:rPr>
        <w:instrText xml:space="preserve"> </w:instrText>
      </w:r>
      <w:r w:rsidR="00EA3B99" w:rsidRPr="0044196C">
        <w:rPr>
          <w:color w:val="000000" w:themeColor="text1"/>
          <w:lang w:val="en-US"/>
        </w:rPr>
        <w:instrText>Global</w:instrText>
      </w:r>
      <w:r w:rsidR="00EA3B99" w:rsidRPr="0044196C">
        <w:rPr>
          <w:color w:val="000000" w:themeColor="text1"/>
        </w:rPr>
        <w:instrText xml:space="preserve"> </w:instrText>
      </w:r>
      <w:r w:rsidR="00EA3B99" w:rsidRPr="0044196C">
        <w:rPr>
          <w:color w:val="000000" w:themeColor="text1"/>
          <w:lang w:val="en-US"/>
        </w:rPr>
        <w:instrText>Outcomes</w:instrText>
      </w:r>
      <w:r w:rsidR="00EA3B99" w:rsidRPr="0044196C">
        <w:rPr>
          <w:color w:val="000000" w:themeColor="text1"/>
        </w:rPr>
        <w:instrText xml:space="preserve"> (</w:instrText>
      </w:r>
      <w:r w:rsidR="00EA3B99" w:rsidRPr="0044196C">
        <w:rPr>
          <w:color w:val="000000" w:themeColor="text1"/>
          <w:lang w:val="en-US"/>
        </w:rPr>
        <w:instrText>KDIGO</w:instrText>
      </w:r>
      <w:r w:rsidR="00EA3B99" w:rsidRPr="0044196C">
        <w:rPr>
          <w:color w:val="000000" w:themeColor="text1"/>
        </w:rPr>
        <w:instrText xml:space="preserve">) </w:instrText>
      </w:r>
      <w:r w:rsidR="00EA3B99" w:rsidRPr="0044196C">
        <w:rPr>
          <w:color w:val="000000" w:themeColor="text1"/>
          <w:lang w:val="en-US"/>
        </w:rPr>
        <w:instrText>CKD</w:instrText>
      </w:r>
      <w:r w:rsidR="00EA3B99" w:rsidRPr="0044196C">
        <w:rPr>
          <w:color w:val="000000" w:themeColor="text1"/>
        </w:rPr>
        <w:instrText xml:space="preserve"> </w:instrText>
      </w:r>
      <w:r w:rsidR="00EA3B99" w:rsidRPr="0044196C">
        <w:rPr>
          <w:color w:val="000000" w:themeColor="text1"/>
          <w:lang w:val="en-US"/>
        </w:rPr>
        <w:instrText>Work</w:instrText>
      </w:r>
      <w:r w:rsidR="00EA3B99" w:rsidRPr="0044196C">
        <w:rPr>
          <w:color w:val="000000" w:themeColor="text1"/>
        </w:rPr>
        <w:instrText xml:space="preserve"> </w:instrText>
      </w:r>
      <w:r w:rsidR="00EA3B99" w:rsidRPr="0044196C">
        <w:rPr>
          <w:color w:val="000000" w:themeColor="text1"/>
          <w:lang w:val="en-US"/>
        </w:rPr>
        <w:instrText>Group</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international</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issue</w:instrText>
      </w:r>
      <w:r w:rsidR="00EA3B99" w:rsidRPr="0044196C">
        <w:rPr>
          <w:color w:val="000000" w:themeColor="text1"/>
        </w:rPr>
        <w:instrText>" : "3 (1)",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"2013", "9" ] ] }, "</w:instrText>
      </w:r>
      <w:r w:rsidR="00EA3B99" w:rsidRPr="0044196C">
        <w:rPr>
          <w:color w:val="000000" w:themeColor="text1"/>
          <w:lang w:val="en-US"/>
        </w:rPr>
        <w:instrText>page</w:instrText>
      </w:r>
      <w:r w:rsidR="00EA3B99" w:rsidRPr="0044196C">
        <w:rPr>
          <w:color w:val="000000" w:themeColor="text1"/>
        </w:rPr>
        <w:instrText>" : "1-150",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KDIGO</w:instrText>
      </w:r>
      <w:r w:rsidR="00EA3B99" w:rsidRPr="0044196C">
        <w:rPr>
          <w:color w:val="000000" w:themeColor="text1"/>
        </w:rPr>
        <w:instrText xml:space="preserve"> 2012 </w:instrText>
      </w:r>
      <w:r w:rsidR="00EA3B99" w:rsidRPr="0044196C">
        <w:rPr>
          <w:color w:val="000000" w:themeColor="text1"/>
          <w:lang w:val="en-US"/>
        </w:rPr>
        <w:instrText>clinical</w:instrText>
      </w:r>
      <w:r w:rsidR="00EA3B99" w:rsidRPr="0044196C">
        <w:rPr>
          <w:color w:val="000000" w:themeColor="text1"/>
        </w:rPr>
        <w:instrText xml:space="preserve"> </w:instrText>
      </w:r>
      <w:r w:rsidR="00EA3B99" w:rsidRPr="0044196C">
        <w:rPr>
          <w:color w:val="000000" w:themeColor="text1"/>
          <w:lang w:val="en-US"/>
        </w:rPr>
        <w:instrText>practice</w:instrText>
      </w:r>
      <w:r w:rsidR="00EA3B99" w:rsidRPr="0044196C">
        <w:rPr>
          <w:color w:val="000000" w:themeColor="text1"/>
        </w:rPr>
        <w:instrText xml:space="preserve"> </w:instrText>
      </w:r>
      <w:r w:rsidR="00EA3B99" w:rsidRPr="0044196C">
        <w:rPr>
          <w:color w:val="000000" w:themeColor="text1"/>
          <w:lang w:val="en-US"/>
        </w:rPr>
        <w:instrText>guideline</w:instrText>
      </w:r>
      <w:r w:rsidR="00EA3B99" w:rsidRPr="0044196C">
        <w:rPr>
          <w:color w:val="000000" w:themeColor="text1"/>
        </w:rPr>
        <w:instrText xml:space="preserve"> </w:instrText>
      </w:r>
      <w:r w:rsidR="00EA3B99" w:rsidRPr="0044196C">
        <w:rPr>
          <w:color w:val="000000" w:themeColor="text1"/>
          <w:lang w:val="en-US"/>
        </w:rPr>
        <w:instrText>for</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evaluation</w:instrText>
      </w:r>
      <w:r w:rsidR="00EA3B99" w:rsidRPr="0044196C">
        <w:rPr>
          <w:color w:val="000000" w:themeColor="text1"/>
        </w:rPr>
        <w:instrText xml:space="preserve"> </w:instrText>
      </w:r>
      <w:r w:rsidR="00EA3B99" w:rsidRPr="0044196C">
        <w:rPr>
          <w:color w:val="000000" w:themeColor="text1"/>
          <w:lang w:val="en-US"/>
        </w:rPr>
        <w:instrText>and</w:instrText>
      </w:r>
      <w:r w:rsidR="00EA3B99" w:rsidRPr="0044196C">
        <w:rPr>
          <w:color w:val="000000" w:themeColor="text1"/>
        </w:rPr>
        <w:instrText xml:space="preserve"> </w:instrText>
      </w:r>
      <w:r w:rsidR="00EA3B99" w:rsidRPr="0044196C">
        <w:rPr>
          <w:color w:val="000000" w:themeColor="text1"/>
          <w:lang w:val="en-US"/>
        </w:rPr>
        <w:instrText>management</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chronic</w:instrText>
      </w:r>
      <w:r w:rsidR="00EA3B99" w:rsidRPr="0044196C">
        <w:rPr>
          <w:color w:val="000000" w:themeColor="text1"/>
        </w:rPr>
        <w:instrText xml:space="preserve">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disease</w:instrText>
      </w:r>
      <w:r w:rsidR="00EA3B99" w:rsidRPr="0044196C">
        <w:rPr>
          <w:color w:val="000000" w:themeColor="text1"/>
        </w:rPr>
        <w:instrText>",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w:instrText>
      </w:r>
      <w:r w:rsidR="00EA3B99" w:rsidRPr="0044196C">
        <w:rPr>
          <w:color w:val="000000" w:themeColor="text1"/>
          <w:lang w:val="en-US"/>
        </w:rPr>
        <w:instrText>Suppl</w:instrText>
      </w:r>
      <w:r w:rsidR="00EA3B99" w:rsidRPr="0044196C">
        <w:rPr>
          <w:color w:val="000000" w:themeColor="text1"/>
        </w:rPr>
        <w:instrText>"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=5</w:instrText>
      </w:r>
      <w:r w:rsidR="00EA3B99" w:rsidRPr="0044196C">
        <w:rPr>
          <w:color w:val="000000" w:themeColor="text1"/>
          <w:lang w:val="en-US"/>
        </w:rPr>
        <w:instrText>c</w:instrText>
      </w:r>
      <w:r w:rsidR="00EA3B99" w:rsidRPr="0044196C">
        <w:rPr>
          <w:color w:val="000000" w:themeColor="text1"/>
        </w:rPr>
        <w:instrText>67</w:instrText>
      </w:r>
      <w:r w:rsidR="00EA3B99" w:rsidRPr="0044196C">
        <w:rPr>
          <w:color w:val="000000" w:themeColor="text1"/>
          <w:lang w:val="en-US"/>
        </w:rPr>
        <w:instrText>faf</w:instrText>
      </w:r>
      <w:r w:rsidR="00EA3B99" w:rsidRPr="0044196C">
        <w:rPr>
          <w:color w:val="000000" w:themeColor="text1"/>
        </w:rPr>
        <w:instrText>2-1</w:instrText>
      </w:r>
      <w:r w:rsidR="00EA3B99" w:rsidRPr="0044196C">
        <w:rPr>
          <w:color w:val="000000" w:themeColor="text1"/>
          <w:lang w:val="en-US"/>
        </w:rPr>
        <w:instrText>f</w:instrText>
      </w:r>
      <w:r w:rsidR="00EA3B99" w:rsidRPr="0044196C">
        <w:rPr>
          <w:color w:val="000000" w:themeColor="text1"/>
        </w:rPr>
        <w:instrText>34-4</w:instrText>
      </w:r>
      <w:r w:rsidR="00EA3B99" w:rsidRPr="0044196C">
        <w:rPr>
          <w:color w:val="000000" w:themeColor="text1"/>
          <w:lang w:val="en-US"/>
        </w:rPr>
        <w:instrText>d</w:instrText>
      </w:r>
      <w:r w:rsidR="00EA3B99" w:rsidRPr="0044196C">
        <w:rPr>
          <w:color w:val="000000" w:themeColor="text1"/>
        </w:rPr>
        <w:instrText>7</w:instrText>
      </w:r>
      <w:r w:rsidR="00EA3B99" w:rsidRPr="0044196C">
        <w:rPr>
          <w:color w:val="000000" w:themeColor="text1"/>
          <w:lang w:val="en-US"/>
        </w:rPr>
        <w:instrText>c</w:instrText>
      </w:r>
      <w:r w:rsidR="00EA3B99" w:rsidRPr="0044196C">
        <w:rPr>
          <w:color w:val="000000" w:themeColor="text1"/>
        </w:rPr>
        <w:instrText>-8218-93057643</w:instrText>
      </w:r>
      <w:r w:rsidR="00EA3B99" w:rsidRPr="0044196C">
        <w:rPr>
          <w:color w:val="000000" w:themeColor="text1"/>
          <w:lang w:val="en-US"/>
        </w:rPr>
        <w:instrText>becc</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-2",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given</w:instrText>
      </w:r>
      <w:r w:rsidR="00EA3B99" w:rsidRPr="0044196C">
        <w:rPr>
          <w:color w:val="000000" w:themeColor="text1"/>
        </w:rPr>
        <w:instrText>" : "",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-2", "</w:instrText>
      </w:r>
      <w:r w:rsidR="00EA3B99" w:rsidRPr="0044196C">
        <w:rPr>
          <w:color w:val="000000" w:themeColor="text1"/>
          <w:lang w:val="en-US"/>
        </w:rPr>
        <w:instrText>issue</w:instrText>
      </w:r>
      <w:r w:rsidR="00EA3B99" w:rsidRPr="0044196C">
        <w:rPr>
          <w:color w:val="000000" w:themeColor="text1"/>
        </w:rPr>
        <w:instrText>" : "1",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"2012" ] ] }, "</w:instrText>
      </w:r>
      <w:r w:rsidR="00EA3B99" w:rsidRPr="0044196C">
        <w:rPr>
          <w:color w:val="000000" w:themeColor="text1"/>
          <w:lang w:val="en-US"/>
        </w:rPr>
        <w:instrText>page</w:instrText>
      </w:r>
      <w:r w:rsidR="00EA3B99" w:rsidRPr="0044196C">
        <w:rPr>
          <w:color w:val="000000" w:themeColor="text1"/>
        </w:rPr>
        <w:instrText>" : "15-89",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0445\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e</w:instrText>
      </w:r>
      <w:r w:rsidR="00EA3B99" w:rsidRPr="0044196C">
        <w:rPr>
          <w:color w:val="000000" w:themeColor="text1"/>
        </w:rPr>
        <w:instrText>.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0410.\</w:instrText>
      </w:r>
      <w:r w:rsidR="00EA3B99" w:rsidRPr="0044196C">
        <w:rPr>
          <w:color w:val="000000" w:themeColor="text1"/>
          <w:lang w:val="en-US"/>
        </w:rPr>
        <w:instrText>u</w:instrText>
      </w:r>
      <w:r w:rsidR="00EA3B99" w:rsidRPr="0044196C">
        <w:rPr>
          <w:color w:val="000000" w:themeColor="text1"/>
        </w:rPr>
        <w:instrText>0412.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"16"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=6</w:instrText>
      </w:r>
      <w:r w:rsidR="00EA3B99" w:rsidRPr="0044196C">
        <w:rPr>
          <w:color w:val="000000" w:themeColor="text1"/>
          <w:lang w:val="en-US"/>
        </w:rPr>
        <w:instrText>f</w:instrText>
      </w:r>
      <w:r w:rsidR="00EA3B99" w:rsidRPr="0044196C">
        <w:rPr>
          <w:color w:val="000000" w:themeColor="text1"/>
        </w:rPr>
        <w:instrText>3</w:instrText>
      </w:r>
      <w:r w:rsidR="00EA3B99" w:rsidRPr="0044196C">
        <w:rPr>
          <w:color w:val="000000" w:themeColor="text1"/>
          <w:lang w:val="en-US"/>
        </w:rPr>
        <w:instrText>f</w:instrText>
      </w:r>
      <w:r w:rsidR="00EA3B99" w:rsidRPr="0044196C">
        <w:rPr>
          <w:color w:val="000000" w:themeColor="text1"/>
        </w:rPr>
        <w:instrText>8</w:instrText>
      </w:r>
      <w:r w:rsidR="00EA3B99" w:rsidRPr="0044196C">
        <w:rPr>
          <w:color w:val="000000" w:themeColor="text1"/>
          <w:lang w:val="en-US"/>
        </w:rPr>
        <w:instrText>b</w:instrText>
      </w:r>
      <w:r w:rsidR="00EA3B99" w:rsidRPr="0044196C">
        <w:rPr>
          <w:color w:val="000000" w:themeColor="text1"/>
        </w:rPr>
        <w:instrText>87-741</w:instrText>
      </w:r>
      <w:r w:rsidR="00EA3B99" w:rsidRPr="0044196C">
        <w:rPr>
          <w:color w:val="000000" w:themeColor="text1"/>
          <w:lang w:val="en-US"/>
        </w:rPr>
        <w:instrText>f</w:instrText>
      </w:r>
      <w:r w:rsidR="00EA3B99" w:rsidRPr="0044196C">
        <w:rPr>
          <w:color w:val="000000" w:themeColor="text1"/>
        </w:rPr>
        <w:instrText>-475</w:instrText>
      </w:r>
      <w:r w:rsidR="00EA3B99" w:rsidRPr="0044196C">
        <w:rPr>
          <w:color w:val="000000" w:themeColor="text1"/>
          <w:lang w:val="en-US"/>
        </w:rPr>
        <w:instrText>c</w:instrText>
      </w:r>
      <w:r w:rsidR="00EA3B99" w:rsidRPr="0044196C">
        <w:rPr>
          <w:color w:val="000000" w:themeColor="text1"/>
        </w:rPr>
        <w:instrText>-9822-6</w:instrText>
      </w:r>
      <w:r w:rsidR="00EA3B99" w:rsidRPr="0044196C">
        <w:rPr>
          <w:color w:val="000000" w:themeColor="text1"/>
          <w:lang w:val="en-US"/>
        </w:rPr>
        <w:instrText>c</w:instrText>
      </w:r>
      <w:r w:rsidR="00EA3B99" w:rsidRPr="0044196C">
        <w:rPr>
          <w:color w:val="000000" w:themeColor="text1"/>
        </w:rPr>
        <w:instrText>7</w:instrText>
      </w:r>
      <w:r w:rsidR="00EA3B99" w:rsidRPr="0044196C">
        <w:rPr>
          <w:color w:val="000000" w:themeColor="text1"/>
          <w:lang w:val="en-US"/>
        </w:rPr>
        <w:instrText>a</w:instrText>
      </w:r>
      <w:r w:rsidR="00EA3B99" w:rsidRPr="0044196C">
        <w:rPr>
          <w:color w:val="000000" w:themeColor="text1"/>
        </w:rPr>
        <w:instrText>31</w:instrText>
      </w:r>
      <w:r w:rsidR="00EA3B99" w:rsidRPr="0044196C">
        <w:rPr>
          <w:color w:val="000000" w:themeColor="text1"/>
          <w:lang w:val="en-US"/>
        </w:rPr>
        <w:instrText>e</w:instrText>
      </w:r>
      <w:r w:rsidR="00EA3B99" w:rsidRPr="0044196C">
        <w:rPr>
          <w:color w:val="000000" w:themeColor="text1"/>
        </w:rPr>
        <w:instrText>6</w:instrText>
      </w:r>
      <w:r w:rsidR="00EA3B99" w:rsidRPr="0044196C">
        <w:rPr>
          <w:color w:val="000000" w:themeColor="text1"/>
          <w:lang w:val="en-US"/>
        </w:rPr>
        <w:instrText>f</w:instrText>
      </w:r>
      <w:r w:rsidR="00EA3B99" w:rsidRPr="0044196C">
        <w:rPr>
          <w:color w:val="000000" w:themeColor="text1"/>
        </w:rPr>
        <w:instrText>14</w:instrText>
      </w:r>
      <w:r w:rsidR="00EA3B99" w:rsidRPr="0044196C">
        <w:rPr>
          <w:color w:val="000000" w:themeColor="text1"/>
          <w:lang w:val="en-US"/>
        </w:rPr>
        <w:instrText>e</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-3",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given</w:instrText>
      </w:r>
      <w:r w:rsidR="00EA3B99" w:rsidRPr="0044196C">
        <w:rPr>
          <w:color w:val="000000" w:themeColor="text1"/>
        </w:rPr>
        <w:instrText>" : "",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-3", "</w:instrText>
      </w:r>
      <w:r w:rsidR="00EA3B99" w:rsidRPr="0044196C">
        <w:rPr>
          <w:color w:val="000000" w:themeColor="text1"/>
          <w:lang w:val="en-US"/>
        </w:rPr>
        <w:instrText>issue</w:instrText>
      </w:r>
      <w:r w:rsidR="00EA3B99" w:rsidRPr="0044196C">
        <w:rPr>
          <w:color w:val="000000" w:themeColor="text1"/>
        </w:rPr>
        <w:instrText>" : "2",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"2014" ] ] }, "</w:instrText>
      </w:r>
      <w:r w:rsidR="00EA3B99" w:rsidRPr="0044196C">
        <w:rPr>
          <w:color w:val="000000" w:themeColor="text1"/>
          <w:lang w:val="en-US"/>
        </w:rPr>
        <w:instrText>page</w:instrText>
      </w:r>
      <w:r w:rsidR="00EA3B99" w:rsidRPr="0044196C">
        <w:rPr>
          <w:color w:val="000000" w:themeColor="text1"/>
        </w:rPr>
        <w:instrText>" : "4-29",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0443\</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0439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0445\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0412.\</w:instrText>
      </w:r>
      <w:r w:rsidR="00EA3B99" w:rsidRPr="0044196C">
        <w:rPr>
          <w:color w:val="000000" w:themeColor="text1"/>
          <w:lang w:val="en-US"/>
        </w:rPr>
        <w:instrText>u</w:instrText>
      </w:r>
      <w:r w:rsidR="00EA3B99" w:rsidRPr="0044196C">
        <w:rPr>
          <w:color w:val="000000" w:themeColor="text1"/>
        </w:rPr>
        <w:instrText>0421.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0410.\</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0443\</w:instrText>
      </w:r>
      <w:r w:rsidR="00EA3B99" w:rsidRPr="0044196C">
        <w:rPr>
          <w:color w:val="000000" w:themeColor="text1"/>
          <w:lang w:val="en-US"/>
        </w:rPr>
        <w:instrText>u</w:instrText>
      </w:r>
      <w:r w:rsidR="00EA3B99" w:rsidRPr="0044196C">
        <w:rPr>
          <w:color w:val="000000" w:themeColor="text1"/>
        </w:rPr>
        <w:instrText>0445\</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w:instrText>
      </w:r>
      <w:r w:rsidR="00EA3B99" w:rsidRPr="0044196C">
        <w:rPr>
          <w:color w:val="000000" w:themeColor="text1"/>
          <w:lang w:val="en-US"/>
        </w:rPr>
        <w:instrText>abc</w:instrText>
      </w:r>
      <w:r w:rsidR="00EA3B99" w:rsidRPr="0044196C">
        <w:rPr>
          <w:color w:val="000000" w:themeColor="text1"/>
        </w:rPr>
        <w:instrText>5</w:instrText>
      </w:r>
      <w:r w:rsidR="00EA3B99" w:rsidRPr="0044196C">
        <w:rPr>
          <w:color w:val="000000" w:themeColor="text1"/>
          <w:lang w:val="en-US"/>
        </w:rPr>
        <w:instrText>b</w:instrText>
      </w:r>
      <w:r w:rsidR="00EA3B99" w:rsidRPr="0044196C">
        <w:rPr>
          <w:color w:val="000000" w:themeColor="text1"/>
        </w:rPr>
        <w:instrText>621-</w:instrText>
      </w:r>
      <w:r w:rsidR="00EA3B99" w:rsidRPr="0044196C">
        <w:rPr>
          <w:color w:val="000000" w:themeColor="text1"/>
          <w:lang w:val="en-US"/>
        </w:rPr>
        <w:instrText>a</w:instrText>
      </w:r>
      <w:r w:rsidR="00EA3B99" w:rsidRPr="0044196C">
        <w:rPr>
          <w:color w:val="000000" w:themeColor="text1"/>
        </w:rPr>
        <w:instrText>90</w:instrText>
      </w:r>
      <w:r w:rsidR="00EA3B99" w:rsidRPr="0044196C">
        <w:rPr>
          <w:color w:val="000000" w:themeColor="text1"/>
          <w:lang w:val="en-US"/>
        </w:rPr>
        <w:instrText>d</w:instrText>
      </w:r>
      <w:r w:rsidR="00EA3B99" w:rsidRPr="0044196C">
        <w:rPr>
          <w:color w:val="000000" w:themeColor="text1"/>
        </w:rPr>
        <w:instrText>-4650-83</w:instrText>
      </w:r>
      <w:r w:rsidR="00EA3B99" w:rsidRPr="0044196C">
        <w:rPr>
          <w:color w:val="000000" w:themeColor="text1"/>
          <w:lang w:val="en-US"/>
        </w:rPr>
        <w:instrText>a</w:instrText>
      </w:r>
      <w:r w:rsidR="00EA3B99" w:rsidRPr="0044196C">
        <w:rPr>
          <w:color w:val="000000" w:themeColor="text1"/>
        </w:rPr>
        <w:instrText>6-1</w:instrText>
      </w:r>
      <w:r w:rsidR="00EA3B99" w:rsidRPr="0044196C">
        <w:rPr>
          <w:color w:val="000000" w:themeColor="text1"/>
          <w:lang w:val="en-US"/>
        </w:rPr>
        <w:instrText>c</w:instrText>
      </w:r>
      <w:r w:rsidR="00EA3B99" w:rsidRPr="0044196C">
        <w:rPr>
          <w:color w:val="000000" w:themeColor="text1"/>
        </w:rPr>
        <w:instrText>06</w:instrText>
      </w:r>
      <w:r w:rsidR="00EA3B99" w:rsidRPr="0044196C">
        <w:rPr>
          <w:color w:val="000000" w:themeColor="text1"/>
          <w:lang w:val="en-US"/>
        </w:rPr>
        <w:instrText>abc</w:instrText>
      </w:r>
      <w:r w:rsidR="00EA3B99" w:rsidRPr="0044196C">
        <w:rPr>
          <w:color w:val="000000" w:themeColor="text1"/>
        </w:rPr>
        <w:instrText>90498" ] } ], "</w:instrText>
      </w:r>
      <w:r w:rsidR="00EA3B99" w:rsidRPr="0044196C">
        <w:rPr>
          <w:color w:val="000000" w:themeColor="text1"/>
          <w:lang w:val="en-US"/>
        </w:rPr>
        <w:instrText>mendeley</w:instrText>
      </w:r>
      <w:r w:rsidR="00EA3B99" w:rsidRPr="0044196C">
        <w:rPr>
          <w:color w:val="000000" w:themeColor="text1"/>
        </w:rPr>
        <w:instrText>" : { "</w:instrText>
      </w:r>
      <w:r w:rsidR="00EA3B99" w:rsidRPr="0044196C">
        <w:rPr>
          <w:color w:val="000000" w:themeColor="text1"/>
          <w:lang w:val="en-US"/>
        </w:rPr>
        <w:instrText>previouslyFormattedCitation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2012;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 xml:space="preserve">0438, 2014;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Disease</w:instrText>
      </w:r>
      <w:r w:rsidR="00EA3B99" w:rsidRPr="0044196C">
        <w:rPr>
          <w:color w:val="000000" w:themeColor="text1"/>
        </w:rPr>
        <w:instrText xml:space="preserve"> </w:instrText>
      </w:r>
      <w:r w:rsidR="00EA3B99" w:rsidRPr="0044196C">
        <w:rPr>
          <w:color w:val="000000" w:themeColor="text1"/>
          <w:lang w:val="en-US"/>
        </w:rPr>
        <w:instrText>Improving</w:instrText>
      </w:r>
      <w:r w:rsidR="00EA3B99" w:rsidRPr="0044196C">
        <w:rPr>
          <w:color w:val="000000" w:themeColor="text1"/>
        </w:rPr>
        <w:instrText xml:space="preserve"> </w:instrText>
      </w:r>
      <w:r w:rsidR="00EA3B99" w:rsidRPr="0044196C">
        <w:rPr>
          <w:color w:val="000000" w:themeColor="text1"/>
          <w:lang w:val="en-US"/>
        </w:rPr>
        <w:instrText>Global</w:instrText>
      </w:r>
      <w:r w:rsidR="00EA3B99" w:rsidRPr="0044196C">
        <w:rPr>
          <w:color w:val="000000" w:themeColor="text1"/>
        </w:rPr>
        <w:instrText xml:space="preserve"> </w:instrText>
      </w:r>
      <w:r w:rsidR="00EA3B99" w:rsidRPr="0044196C">
        <w:rPr>
          <w:color w:val="000000" w:themeColor="text1"/>
          <w:lang w:val="en-US"/>
        </w:rPr>
        <w:instrText>Outcomes</w:instrText>
      </w:r>
      <w:r w:rsidR="00EA3B99" w:rsidRPr="0044196C">
        <w:rPr>
          <w:color w:val="000000" w:themeColor="text1"/>
        </w:rPr>
        <w:instrText xml:space="preserve"> (</w:instrText>
      </w:r>
      <w:r w:rsidR="00EA3B99" w:rsidRPr="0044196C">
        <w:rPr>
          <w:color w:val="000000" w:themeColor="text1"/>
          <w:lang w:val="en-US"/>
        </w:rPr>
        <w:instrText>KDIGO</w:instrText>
      </w:r>
      <w:r w:rsidR="00EA3B99" w:rsidRPr="0044196C">
        <w:rPr>
          <w:color w:val="000000" w:themeColor="text1"/>
        </w:rPr>
        <w:instrText xml:space="preserve">) </w:instrText>
      </w:r>
      <w:r w:rsidR="00EA3B99" w:rsidRPr="0044196C">
        <w:rPr>
          <w:color w:val="000000" w:themeColor="text1"/>
          <w:lang w:val="en-US"/>
        </w:rPr>
        <w:instrText>CKD</w:instrText>
      </w:r>
      <w:r w:rsidR="00EA3B99" w:rsidRPr="0044196C">
        <w:rPr>
          <w:color w:val="000000" w:themeColor="text1"/>
        </w:rPr>
        <w:instrText xml:space="preserve"> </w:instrText>
      </w:r>
      <w:r w:rsidR="00EA3B99" w:rsidRPr="0044196C">
        <w:rPr>
          <w:color w:val="000000" w:themeColor="text1"/>
          <w:lang w:val="en-US"/>
        </w:rPr>
        <w:instrText>Work</w:instrText>
      </w:r>
      <w:r w:rsidR="00EA3B99" w:rsidRPr="0044196C">
        <w:rPr>
          <w:color w:val="000000" w:themeColor="text1"/>
        </w:rPr>
        <w:instrText xml:space="preserve"> </w:instrText>
      </w:r>
      <w:r w:rsidR="00EA3B99" w:rsidRPr="0044196C">
        <w:rPr>
          <w:color w:val="000000" w:themeColor="text1"/>
          <w:lang w:val="en-US"/>
        </w:rPr>
        <w:instrText>Group</w:instrText>
      </w:r>
      <w:r w:rsidR="00EA3B99" w:rsidRPr="0044196C">
        <w:rPr>
          <w:color w:val="000000" w:themeColor="text1"/>
        </w:rPr>
        <w:instrText>, 2013]" }, "</w:instrText>
      </w:r>
      <w:r w:rsidR="00EA3B99" w:rsidRPr="0044196C">
        <w:rPr>
          <w:color w:val="000000" w:themeColor="text1"/>
          <w:lang w:val="en-US"/>
        </w:rPr>
        <w:instrText>properties</w:instrText>
      </w:r>
      <w:r w:rsidR="00EA3B99" w:rsidRPr="0044196C">
        <w:rPr>
          <w:color w:val="000000" w:themeColor="text1"/>
        </w:rPr>
        <w:instrText>" : { "</w:instrText>
      </w:r>
      <w:r w:rsidR="00EA3B99" w:rsidRPr="0044196C">
        <w:rPr>
          <w:color w:val="000000" w:themeColor="text1"/>
          <w:lang w:val="en-US"/>
        </w:rPr>
        <w:instrText>noteIndex</w:instrText>
      </w:r>
      <w:r w:rsidR="00EA3B99" w:rsidRPr="0044196C">
        <w:rPr>
          <w:color w:val="000000" w:themeColor="text1"/>
        </w:rPr>
        <w:instrText>" : 0 }, "</w:instrText>
      </w:r>
      <w:r w:rsidR="00EA3B99" w:rsidRPr="0044196C">
        <w:rPr>
          <w:color w:val="000000" w:themeColor="text1"/>
          <w:lang w:val="en-US"/>
        </w:rPr>
        <w:instrText>schema</w:instrText>
      </w:r>
      <w:r w:rsidR="00EA3B99" w:rsidRPr="0044196C">
        <w:rPr>
          <w:color w:val="000000" w:themeColor="text1"/>
        </w:rPr>
        <w:instrText>" : "</w:instrText>
      </w:r>
      <w:r w:rsidR="00EA3B99" w:rsidRPr="0044196C">
        <w:rPr>
          <w:color w:val="000000" w:themeColor="text1"/>
          <w:lang w:val="en-US"/>
        </w:rPr>
        <w:instrText>https</w:instrText>
      </w:r>
      <w:r w:rsidR="00EA3B99" w:rsidRPr="0044196C">
        <w:rPr>
          <w:color w:val="000000" w:themeColor="text1"/>
        </w:rPr>
        <w:instrText>://</w:instrText>
      </w:r>
      <w:r w:rsidR="00EA3B99" w:rsidRPr="0044196C">
        <w:rPr>
          <w:color w:val="000000" w:themeColor="text1"/>
          <w:lang w:val="en-US"/>
        </w:rPr>
        <w:instrText>github</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style</w:instrText>
      </w:r>
      <w:r w:rsidR="00EA3B99" w:rsidRPr="0044196C">
        <w:rPr>
          <w:color w:val="000000" w:themeColor="text1"/>
        </w:rPr>
        <w:instrText>-</w:instrText>
      </w:r>
      <w:r w:rsidR="00EA3B99" w:rsidRPr="0044196C">
        <w:rPr>
          <w:color w:val="000000" w:themeColor="text1"/>
          <w:lang w:val="en-US"/>
        </w:rPr>
        <w:instrText>language</w:instrText>
      </w:r>
      <w:r w:rsidR="00EA3B99" w:rsidRPr="0044196C">
        <w:rPr>
          <w:color w:val="000000" w:themeColor="text1"/>
        </w:rPr>
        <w:instrText>/</w:instrText>
      </w:r>
      <w:r w:rsidR="00EA3B99" w:rsidRPr="0044196C">
        <w:rPr>
          <w:color w:val="000000" w:themeColor="text1"/>
          <w:lang w:val="en-US"/>
        </w:rPr>
        <w:instrText>schema</w:instrText>
      </w:r>
      <w:r w:rsidR="00EA3B99" w:rsidRPr="0044196C">
        <w:rPr>
          <w:color w:val="000000" w:themeColor="text1"/>
        </w:rPr>
        <w:instrText>/</w:instrText>
      </w:r>
      <w:r w:rsidR="00EA3B99" w:rsidRPr="0044196C">
        <w:rPr>
          <w:color w:val="000000" w:themeColor="text1"/>
          <w:lang w:val="en-US"/>
        </w:rPr>
        <w:instrText>raw</w:instrText>
      </w:r>
      <w:r w:rsidR="00EA3B99" w:rsidRPr="0044196C">
        <w:rPr>
          <w:color w:val="000000" w:themeColor="text1"/>
        </w:rPr>
        <w:instrText>/</w:instrText>
      </w:r>
      <w:r w:rsidR="00EA3B99" w:rsidRPr="0044196C">
        <w:rPr>
          <w:color w:val="000000" w:themeColor="text1"/>
          <w:lang w:val="en-US"/>
        </w:rPr>
        <w:instrText>master</w:instrText>
      </w:r>
      <w:r w:rsidR="00EA3B99" w:rsidRPr="0044196C">
        <w:rPr>
          <w:color w:val="000000" w:themeColor="text1"/>
        </w:rPr>
        <w:instrText>/</w:instrText>
      </w:r>
      <w:r w:rsidR="00EA3B99" w:rsidRPr="0044196C">
        <w:rPr>
          <w:color w:val="000000" w:themeColor="text1"/>
          <w:lang w:val="en-US"/>
        </w:rPr>
        <w:instrText>csl</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json</w:instrText>
      </w:r>
      <w:r w:rsidR="00EA3B99" w:rsidRPr="0044196C">
        <w:rPr>
          <w:color w:val="000000" w:themeColor="text1"/>
        </w:rPr>
        <w:instrText>" }</w:instrText>
      </w:r>
      <w:r w:rsidR="009D7C63" w:rsidRPr="0044196C">
        <w:rPr>
          <w:color w:val="000000" w:themeColor="text1"/>
          <w:lang w:val="en-US"/>
        </w:rPr>
        <w:fldChar w:fldCharType="separate"/>
      </w:r>
      <w:r w:rsidR="00EA3B99" w:rsidRPr="0044196C">
        <w:rPr>
          <w:b w:val="0"/>
          <w:noProof/>
          <w:color w:val="000000" w:themeColor="text1"/>
        </w:rPr>
        <w:t xml:space="preserve">[Национальные рекомендации, 2012; Национальные рекомендации, 2014; </w:t>
      </w:r>
      <w:r w:rsidR="00EA3B99" w:rsidRPr="0044196C">
        <w:rPr>
          <w:b w:val="0"/>
          <w:noProof/>
          <w:color w:val="000000" w:themeColor="text1"/>
          <w:lang w:val="en-US"/>
        </w:rPr>
        <w:t>Kidney</w:t>
      </w:r>
      <w:r w:rsidR="00EA3B99" w:rsidRPr="0044196C">
        <w:rPr>
          <w:b w:val="0"/>
          <w:noProof/>
          <w:color w:val="000000" w:themeColor="text1"/>
        </w:rPr>
        <w:t xml:space="preserve"> </w:t>
      </w:r>
      <w:r w:rsidR="00EA3B99" w:rsidRPr="0044196C">
        <w:rPr>
          <w:b w:val="0"/>
          <w:noProof/>
          <w:color w:val="000000" w:themeColor="text1"/>
          <w:lang w:val="en-US"/>
        </w:rPr>
        <w:t>Disease</w:t>
      </w:r>
      <w:r w:rsidR="00EA3B99" w:rsidRPr="0044196C">
        <w:rPr>
          <w:b w:val="0"/>
          <w:noProof/>
          <w:color w:val="000000" w:themeColor="text1"/>
        </w:rPr>
        <w:t xml:space="preserve"> </w:t>
      </w:r>
      <w:r w:rsidR="00EA3B99" w:rsidRPr="0044196C">
        <w:rPr>
          <w:b w:val="0"/>
          <w:noProof/>
          <w:color w:val="000000" w:themeColor="text1"/>
          <w:lang w:val="en-US"/>
        </w:rPr>
        <w:t>Improving</w:t>
      </w:r>
      <w:r w:rsidR="00EA3B99" w:rsidRPr="0044196C">
        <w:rPr>
          <w:b w:val="0"/>
          <w:noProof/>
          <w:color w:val="000000" w:themeColor="text1"/>
        </w:rPr>
        <w:t xml:space="preserve"> </w:t>
      </w:r>
      <w:r w:rsidR="00EA3B99" w:rsidRPr="0044196C">
        <w:rPr>
          <w:b w:val="0"/>
          <w:noProof/>
          <w:color w:val="000000" w:themeColor="text1"/>
          <w:lang w:val="en-US"/>
        </w:rPr>
        <w:t>Global</w:t>
      </w:r>
      <w:r w:rsidR="00EA3B99" w:rsidRPr="0044196C">
        <w:rPr>
          <w:b w:val="0"/>
          <w:noProof/>
          <w:color w:val="000000" w:themeColor="text1"/>
        </w:rPr>
        <w:t xml:space="preserve"> </w:t>
      </w:r>
      <w:r w:rsidR="00EA3B99" w:rsidRPr="0044196C">
        <w:rPr>
          <w:b w:val="0"/>
          <w:noProof/>
          <w:color w:val="000000" w:themeColor="text1"/>
          <w:lang w:val="en-US"/>
        </w:rPr>
        <w:t>Outcomes</w:t>
      </w:r>
      <w:r w:rsidR="00EA3B99" w:rsidRPr="0044196C">
        <w:rPr>
          <w:b w:val="0"/>
          <w:noProof/>
          <w:color w:val="000000" w:themeColor="text1"/>
        </w:rPr>
        <w:t xml:space="preserve"> (</w:t>
      </w:r>
      <w:r w:rsidR="00EA3B99" w:rsidRPr="0044196C">
        <w:rPr>
          <w:b w:val="0"/>
          <w:noProof/>
          <w:color w:val="000000" w:themeColor="text1"/>
          <w:lang w:val="en-US"/>
        </w:rPr>
        <w:t>KDIGO</w:t>
      </w:r>
      <w:r w:rsidR="00EA3B99" w:rsidRPr="0044196C">
        <w:rPr>
          <w:b w:val="0"/>
          <w:noProof/>
          <w:color w:val="000000" w:themeColor="text1"/>
        </w:rPr>
        <w:t xml:space="preserve">) </w:t>
      </w:r>
      <w:r w:rsidR="00EA3B99" w:rsidRPr="0044196C">
        <w:rPr>
          <w:b w:val="0"/>
          <w:noProof/>
          <w:color w:val="000000" w:themeColor="text1"/>
          <w:lang w:val="en-US"/>
        </w:rPr>
        <w:t>CKD</w:t>
      </w:r>
      <w:r w:rsidR="00EA3B99" w:rsidRPr="0044196C">
        <w:rPr>
          <w:b w:val="0"/>
          <w:noProof/>
          <w:color w:val="000000" w:themeColor="text1"/>
        </w:rPr>
        <w:t xml:space="preserve"> </w:t>
      </w:r>
      <w:r w:rsidR="00EA3B99" w:rsidRPr="0044196C">
        <w:rPr>
          <w:b w:val="0"/>
          <w:noProof/>
          <w:color w:val="000000" w:themeColor="text1"/>
          <w:lang w:val="en-US"/>
        </w:rPr>
        <w:t>Work</w:t>
      </w:r>
      <w:r w:rsidR="00EA3B99" w:rsidRPr="0044196C">
        <w:rPr>
          <w:b w:val="0"/>
          <w:noProof/>
          <w:color w:val="000000" w:themeColor="text1"/>
        </w:rPr>
        <w:t xml:space="preserve"> </w:t>
      </w:r>
      <w:r w:rsidR="00EA3B99" w:rsidRPr="0044196C">
        <w:rPr>
          <w:b w:val="0"/>
          <w:noProof/>
          <w:color w:val="000000" w:themeColor="text1"/>
          <w:lang w:val="en-US"/>
        </w:rPr>
        <w:t>Group</w:t>
      </w:r>
      <w:r w:rsidR="00EA3B99" w:rsidRPr="0044196C">
        <w:rPr>
          <w:b w:val="0"/>
          <w:noProof/>
          <w:color w:val="000000" w:themeColor="text1"/>
        </w:rPr>
        <w:t>, 2013]</w:t>
      </w:r>
      <w:r w:rsidR="009D7C63" w:rsidRPr="0044196C">
        <w:rPr>
          <w:color w:val="000000" w:themeColor="text1"/>
          <w:lang w:val="en-US"/>
        </w:rPr>
        <w:fldChar w:fldCharType="end"/>
      </w:r>
    </w:p>
    <w:tbl>
      <w:tblPr>
        <w:tblW w:w="9248" w:type="dxa"/>
        <w:tblInd w:w="108" w:type="dxa"/>
        <w:tblLayout w:type="fixed"/>
        <w:tblCellMar>
          <w:left w:w="10" w:type="dxa"/>
          <w:right w:w="10" w:type="dxa"/>
        </w:tblCellMar>
        <w:tblLook w:val="0000"/>
      </w:tblPr>
      <w:tblGrid>
        <w:gridCol w:w="1276"/>
        <w:gridCol w:w="3119"/>
        <w:gridCol w:w="4853"/>
      </w:tblGrid>
      <w:tr w:rsidR="00DE609C" w:rsidRPr="0044196C" w:rsidTr="00DE609C">
        <w:tc>
          <w:tcPr>
            <w:tcW w:w="1276" w:type="dxa"/>
            <w:vMerge w:val="restart"/>
            <w:tcBorders>
              <w:top w:val="single" w:sz="4" w:space="0" w:color="00000A"/>
              <w:left w:val="single" w:sz="4" w:space="0" w:color="00000A"/>
              <w:right w:val="single" w:sz="8" w:space="0" w:color="FFFFFF"/>
            </w:tcBorders>
            <w:shd w:val="clear" w:color="auto" w:fill="365F91" w:themeFill="accent1" w:themeFillShade="BF"/>
            <w:tcMar>
              <w:top w:w="0" w:type="dxa"/>
              <w:left w:w="108" w:type="dxa"/>
              <w:bottom w:w="0" w:type="dxa"/>
              <w:right w:w="108" w:type="dxa"/>
            </w:tcMar>
            <w:vAlign w:val="center"/>
          </w:tcPr>
          <w:p w:rsidR="00DE609C" w:rsidRPr="0044196C" w:rsidRDefault="00DE609C" w:rsidP="002C3C24">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sz w:val="26"/>
                <w:szCs w:val="26"/>
              </w:rPr>
            </w:pPr>
            <w:r w:rsidRPr="0044196C">
              <w:rPr>
                <w:rFonts w:asciiTheme="minorHAnsi" w:hAnsiTheme="minorHAnsi"/>
                <w:b/>
                <w:color w:val="000000" w:themeColor="text1"/>
                <w:kern w:val="3"/>
                <w:sz w:val="26"/>
                <w:szCs w:val="26"/>
              </w:rPr>
              <w:t>Стадия</w:t>
            </w:r>
          </w:p>
        </w:tc>
        <w:tc>
          <w:tcPr>
            <w:tcW w:w="7972" w:type="dxa"/>
            <w:gridSpan w:val="2"/>
            <w:tcBorders>
              <w:top w:val="single" w:sz="4" w:space="0" w:color="00000A"/>
              <w:left w:val="single" w:sz="8" w:space="0" w:color="FFFFFF"/>
              <w:bottom w:val="single" w:sz="8" w:space="0" w:color="FFFFFF"/>
              <w:right w:val="single" w:sz="4" w:space="0" w:color="00000A"/>
            </w:tcBorders>
            <w:shd w:val="clear" w:color="auto" w:fill="365F91" w:themeFill="accent1" w:themeFillShade="BF"/>
            <w:tcMar>
              <w:top w:w="0" w:type="dxa"/>
              <w:left w:w="108" w:type="dxa"/>
              <w:bottom w:w="0" w:type="dxa"/>
              <w:right w:w="108" w:type="dxa"/>
            </w:tcMar>
            <w:vAlign w:val="center"/>
          </w:tcPr>
          <w:p w:rsidR="00DE609C" w:rsidRPr="0044196C" w:rsidRDefault="00DE609C" w:rsidP="002C3C24">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sz w:val="26"/>
                <w:szCs w:val="26"/>
              </w:rPr>
            </w:pPr>
            <w:r w:rsidRPr="0044196C">
              <w:rPr>
                <w:rFonts w:asciiTheme="minorHAnsi" w:hAnsiTheme="minorHAnsi"/>
                <w:b/>
                <w:color w:val="000000" w:themeColor="text1"/>
                <w:kern w:val="3"/>
                <w:sz w:val="28"/>
                <w:szCs w:val="26"/>
              </w:rPr>
              <w:t>СКФ</w:t>
            </w:r>
          </w:p>
        </w:tc>
      </w:tr>
      <w:tr w:rsidR="00DE609C" w:rsidRPr="0044196C" w:rsidTr="00DE609C">
        <w:tc>
          <w:tcPr>
            <w:tcW w:w="1276" w:type="dxa"/>
            <w:vMerge/>
            <w:tcBorders>
              <w:left w:val="single" w:sz="4" w:space="0" w:color="00000A"/>
              <w:bottom w:val="single" w:sz="4" w:space="0" w:color="00000A"/>
              <w:right w:val="single" w:sz="8" w:space="0" w:color="FFFFFF"/>
            </w:tcBorders>
            <w:shd w:val="clear" w:color="auto" w:fill="365F91" w:themeFill="accent1" w:themeFillShade="BF"/>
            <w:tcMar>
              <w:top w:w="0" w:type="dxa"/>
              <w:left w:w="108" w:type="dxa"/>
              <w:bottom w:w="0" w:type="dxa"/>
              <w:right w:w="108" w:type="dxa"/>
            </w:tcMar>
            <w:vAlign w:val="center"/>
          </w:tcPr>
          <w:p w:rsidR="00DE609C" w:rsidRPr="0044196C" w:rsidRDefault="00DE609C" w:rsidP="002C3C24">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sz w:val="26"/>
                <w:szCs w:val="26"/>
              </w:rPr>
            </w:pPr>
          </w:p>
        </w:tc>
        <w:tc>
          <w:tcPr>
            <w:tcW w:w="3119" w:type="dxa"/>
            <w:tcBorders>
              <w:top w:val="single" w:sz="8" w:space="0" w:color="FFFFFF"/>
              <w:left w:val="single" w:sz="8" w:space="0" w:color="FFFFFF"/>
              <w:bottom w:val="single" w:sz="4" w:space="0" w:color="00000A"/>
              <w:right w:val="single" w:sz="8" w:space="0" w:color="FFFFFF"/>
            </w:tcBorders>
            <w:shd w:val="clear" w:color="auto" w:fill="365F91" w:themeFill="accent1" w:themeFillShade="BF"/>
            <w:tcMar>
              <w:top w:w="0" w:type="dxa"/>
              <w:left w:w="108" w:type="dxa"/>
              <w:bottom w:w="0" w:type="dxa"/>
              <w:right w:w="108" w:type="dxa"/>
            </w:tcMar>
            <w:vAlign w:val="center"/>
          </w:tcPr>
          <w:p w:rsidR="00DE609C" w:rsidRPr="0044196C" w:rsidRDefault="00DE609C" w:rsidP="002C3C24">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sz w:val="26"/>
                <w:szCs w:val="26"/>
              </w:rPr>
            </w:pPr>
            <w:r w:rsidRPr="0044196C">
              <w:rPr>
                <w:rFonts w:asciiTheme="minorHAnsi" w:hAnsiTheme="minorHAnsi"/>
                <w:b/>
                <w:color w:val="000000" w:themeColor="text1"/>
                <w:kern w:val="3"/>
                <w:sz w:val="26"/>
                <w:szCs w:val="26"/>
              </w:rPr>
              <w:t xml:space="preserve">Уровень, </w:t>
            </w:r>
            <w:r w:rsidRPr="0044196C">
              <w:rPr>
                <w:rFonts w:asciiTheme="minorHAnsi" w:hAnsiTheme="minorHAnsi"/>
                <w:b/>
                <w:color w:val="000000" w:themeColor="text1"/>
                <w:kern w:val="3"/>
                <w:szCs w:val="26"/>
              </w:rPr>
              <w:t>мл/мин/1,73 м</w:t>
            </w:r>
            <w:r w:rsidRPr="0044196C">
              <w:rPr>
                <w:rFonts w:asciiTheme="minorHAnsi" w:hAnsiTheme="minorHAnsi"/>
                <w:b/>
                <w:color w:val="000000" w:themeColor="text1"/>
                <w:kern w:val="3"/>
                <w:szCs w:val="26"/>
                <w:vertAlign w:val="superscript"/>
              </w:rPr>
              <w:t>2</w:t>
            </w:r>
          </w:p>
        </w:tc>
        <w:tc>
          <w:tcPr>
            <w:tcW w:w="4853" w:type="dxa"/>
            <w:tcBorders>
              <w:top w:val="single" w:sz="8" w:space="0" w:color="FFFFFF"/>
              <w:left w:val="single" w:sz="8" w:space="0" w:color="FFFFFF"/>
              <w:bottom w:val="single" w:sz="4" w:space="0" w:color="00000A"/>
              <w:right w:val="single" w:sz="4" w:space="0" w:color="00000A"/>
            </w:tcBorders>
            <w:shd w:val="clear" w:color="auto" w:fill="365F91" w:themeFill="accent1" w:themeFillShade="BF"/>
            <w:tcMar>
              <w:top w:w="0" w:type="dxa"/>
              <w:left w:w="108" w:type="dxa"/>
              <w:bottom w:w="0" w:type="dxa"/>
              <w:right w:w="108" w:type="dxa"/>
            </w:tcMar>
            <w:vAlign w:val="center"/>
          </w:tcPr>
          <w:p w:rsidR="00DE609C" w:rsidRPr="0044196C" w:rsidRDefault="00DE609C" w:rsidP="002C3C24">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sz w:val="26"/>
                <w:szCs w:val="26"/>
              </w:rPr>
            </w:pPr>
            <w:r w:rsidRPr="0044196C">
              <w:rPr>
                <w:rFonts w:asciiTheme="minorHAnsi" w:hAnsiTheme="minorHAnsi"/>
                <w:b/>
                <w:color w:val="000000" w:themeColor="text1"/>
                <w:kern w:val="3"/>
                <w:sz w:val="26"/>
                <w:szCs w:val="26"/>
              </w:rPr>
              <w:t>Описание</w:t>
            </w:r>
          </w:p>
        </w:tc>
      </w:tr>
      <w:tr w:rsidR="009E0B87" w:rsidRPr="0044196C" w:rsidTr="00DE609C">
        <w:tc>
          <w:tcPr>
            <w:tcW w:w="1276"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108" w:type="dxa"/>
              <w:bottom w:w="0" w:type="dxa"/>
              <w:right w:w="108" w:type="dxa"/>
            </w:tcMar>
          </w:tcPr>
          <w:p w:rsidR="009E0B87" w:rsidRPr="0044196C" w:rsidRDefault="004C6F95" w:rsidP="002C3C24">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rPr>
            </w:pPr>
            <w:r w:rsidRPr="0044196C">
              <w:rPr>
                <w:rFonts w:asciiTheme="minorHAnsi" w:hAnsiTheme="minorHAnsi"/>
                <w:b/>
                <w:color w:val="000000" w:themeColor="text1"/>
                <w:kern w:val="3"/>
                <w:szCs w:val="24"/>
              </w:rPr>
              <w:t xml:space="preserve">С </w:t>
            </w:r>
            <w:r w:rsidR="001C53FE" w:rsidRPr="0044196C">
              <w:rPr>
                <w:rFonts w:asciiTheme="minorHAnsi" w:hAnsiTheme="minorHAnsi"/>
                <w:b/>
                <w:color w:val="000000" w:themeColor="text1"/>
                <w:kern w:val="3"/>
                <w:szCs w:val="24"/>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108" w:type="dxa"/>
              <w:bottom w:w="0" w:type="dxa"/>
              <w:right w:w="108" w:type="dxa"/>
            </w:tcMar>
          </w:tcPr>
          <w:p w:rsidR="009E0B87" w:rsidRPr="0044196C" w:rsidRDefault="009E0B87"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&gt;90</w:t>
            </w:r>
          </w:p>
        </w:tc>
        <w:tc>
          <w:tcPr>
            <w:tcW w:w="4853"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108" w:type="dxa"/>
              <w:bottom w:w="0" w:type="dxa"/>
              <w:right w:w="108" w:type="dxa"/>
            </w:tcMar>
          </w:tcPr>
          <w:p w:rsidR="009E0B87" w:rsidRPr="0044196C" w:rsidRDefault="00055B61"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 xml:space="preserve">Оптимальная или повышенная </w:t>
            </w:r>
            <w:r w:rsidR="009E0B87" w:rsidRPr="0044196C">
              <w:rPr>
                <w:rFonts w:asciiTheme="minorHAnsi" w:hAnsiTheme="minorHAnsi"/>
                <w:color w:val="000000" w:themeColor="text1"/>
                <w:kern w:val="3"/>
                <w:szCs w:val="24"/>
              </w:rPr>
              <w:t>*</w:t>
            </w:r>
          </w:p>
        </w:tc>
      </w:tr>
      <w:tr w:rsidR="009E0B87" w:rsidRPr="0044196C" w:rsidTr="00DE609C">
        <w:tc>
          <w:tcPr>
            <w:tcW w:w="1276"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top w:w="0" w:type="dxa"/>
              <w:left w:w="108" w:type="dxa"/>
              <w:bottom w:w="0" w:type="dxa"/>
              <w:right w:w="108" w:type="dxa"/>
            </w:tcMar>
          </w:tcPr>
          <w:p w:rsidR="009E0B87" w:rsidRPr="0044196C" w:rsidRDefault="004C6F95" w:rsidP="002C3C24">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rPr>
            </w:pPr>
            <w:r w:rsidRPr="0044196C">
              <w:rPr>
                <w:rFonts w:asciiTheme="minorHAnsi" w:hAnsiTheme="minorHAnsi"/>
                <w:b/>
                <w:color w:val="000000" w:themeColor="text1"/>
                <w:kern w:val="3"/>
                <w:szCs w:val="24"/>
              </w:rPr>
              <w:t xml:space="preserve">С </w:t>
            </w:r>
            <w:r w:rsidR="001C53FE" w:rsidRPr="0044196C">
              <w:rPr>
                <w:rFonts w:asciiTheme="minorHAnsi" w:hAnsiTheme="minorHAnsi"/>
                <w:b/>
                <w:color w:val="000000" w:themeColor="text1"/>
                <w:kern w:val="3"/>
                <w:szCs w:val="24"/>
              </w:rPr>
              <w:t>2</w:t>
            </w:r>
          </w:p>
        </w:tc>
        <w:tc>
          <w:tcPr>
            <w:tcW w:w="3119"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top w:w="0" w:type="dxa"/>
              <w:left w:w="108" w:type="dxa"/>
              <w:bottom w:w="0" w:type="dxa"/>
              <w:right w:w="108" w:type="dxa"/>
            </w:tcMar>
          </w:tcPr>
          <w:p w:rsidR="009E0B87" w:rsidRPr="0044196C" w:rsidRDefault="009E0B87"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60-89</w:t>
            </w:r>
          </w:p>
        </w:tc>
        <w:tc>
          <w:tcPr>
            <w:tcW w:w="4853"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top w:w="0" w:type="dxa"/>
              <w:left w:w="108" w:type="dxa"/>
              <w:bottom w:w="0" w:type="dxa"/>
              <w:right w:w="108" w:type="dxa"/>
            </w:tcMar>
          </w:tcPr>
          <w:p w:rsidR="009E0B87" w:rsidRPr="0044196C" w:rsidRDefault="009E0B87"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Незначительно сниженная*</w:t>
            </w:r>
          </w:p>
        </w:tc>
      </w:tr>
      <w:tr w:rsidR="009E0B87" w:rsidRPr="0044196C" w:rsidTr="00DE609C">
        <w:tc>
          <w:tcPr>
            <w:tcW w:w="1276"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108" w:type="dxa"/>
              <w:bottom w:w="0" w:type="dxa"/>
              <w:right w:w="108" w:type="dxa"/>
            </w:tcMar>
          </w:tcPr>
          <w:p w:rsidR="009E0B87" w:rsidRPr="0044196C" w:rsidRDefault="004C6F95" w:rsidP="004C6F95">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rPr>
            </w:pPr>
            <w:r w:rsidRPr="0044196C">
              <w:rPr>
                <w:rFonts w:asciiTheme="minorHAnsi" w:hAnsiTheme="minorHAnsi"/>
                <w:b/>
                <w:color w:val="000000" w:themeColor="text1"/>
                <w:kern w:val="3"/>
                <w:szCs w:val="24"/>
              </w:rPr>
              <w:t xml:space="preserve">С </w:t>
            </w:r>
            <w:r w:rsidR="001C53FE" w:rsidRPr="0044196C">
              <w:rPr>
                <w:rFonts w:asciiTheme="minorHAnsi" w:hAnsiTheme="minorHAnsi"/>
                <w:b/>
                <w:color w:val="000000" w:themeColor="text1"/>
                <w:kern w:val="3"/>
                <w:szCs w:val="24"/>
              </w:rPr>
              <w:t>3</w:t>
            </w:r>
            <w:r w:rsidRPr="0044196C">
              <w:rPr>
                <w:rFonts w:asciiTheme="minorHAnsi" w:hAnsiTheme="minorHAnsi"/>
                <w:b/>
                <w:color w:val="000000" w:themeColor="text1"/>
                <w:kern w:val="3"/>
                <w:szCs w:val="24"/>
              </w:rPr>
              <w:t>а</w:t>
            </w:r>
          </w:p>
        </w:tc>
        <w:tc>
          <w:tcPr>
            <w:tcW w:w="3119"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108" w:type="dxa"/>
              <w:bottom w:w="0" w:type="dxa"/>
              <w:right w:w="108" w:type="dxa"/>
            </w:tcMar>
          </w:tcPr>
          <w:p w:rsidR="009E0B87" w:rsidRPr="0044196C" w:rsidRDefault="009E0B87"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45-59</w:t>
            </w:r>
          </w:p>
        </w:tc>
        <w:tc>
          <w:tcPr>
            <w:tcW w:w="4853"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108" w:type="dxa"/>
              <w:bottom w:w="0" w:type="dxa"/>
              <w:right w:w="108" w:type="dxa"/>
            </w:tcMar>
          </w:tcPr>
          <w:p w:rsidR="009E0B87" w:rsidRPr="0044196C" w:rsidRDefault="009E0B87"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Умеренно сниженная</w:t>
            </w:r>
          </w:p>
        </w:tc>
      </w:tr>
      <w:tr w:rsidR="009E0B87" w:rsidRPr="0044196C" w:rsidTr="00DE609C">
        <w:tc>
          <w:tcPr>
            <w:tcW w:w="1276"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top w:w="0" w:type="dxa"/>
              <w:left w:w="108" w:type="dxa"/>
              <w:bottom w:w="0" w:type="dxa"/>
              <w:right w:w="108" w:type="dxa"/>
            </w:tcMar>
          </w:tcPr>
          <w:p w:rsidR="009E0B87" w:rsidRPr="0044196C" w:rsidRDefault="004C6F95" w:rsidP="004C6F95">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rPr>
            </w:pPr>
            <w:r w:rsidRPr="0044196C">
              <w:rPr>
                <w:rFonts w:asciiTheme="minorHAnsi" w:hAnsiTheme="minorHAnsi"/>
                <w:b/>
                <w:color w:val="000000" w:themeColor="text1"/>
                <w:kern w:val="3"/>
                <w:szCs w:val="24"/>
              </w:rPr>
              <w:t xml:space="preserve">С </w:t>
            </w:r>
            <w:r w:rsidR="001C53FE" w:rsidRPr="0044196C">
              <w:rPr>
                <w:rFonts w:asciiTheme="minorHAnsi" w:hAnsiTheme="minorHAnsi"/>
                <w:b/>
                <w:color w:val="000000" w:themeColor="text1"/>
                <w:kern w:val="3"/>
                <w:szCs w:val="24"/>
              </w:rPr>
              <w:t>3</w:t>
            </w:r>
            <w:r w:rsidRPr="0044196C">
              <w:rPr>
                <w:rFonts w:asciiTheme="minorHAnsi" w:hAnsiTheme="minorHAnsi"/>
                <w:b/>
                <w:color w:val="000000" w:themeColor="text1"/>
                <w:kern w:val="3"/>
                <w:szCs w:val="24"/>
              </w:rPr>
              <w:t>б</w:t>
            </w:r>
          </w:p>
        </w:tc>
        <w:tc>
          <w:tcPr>
            <w:tcW w:w="3119"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top w:w="0" w:type="dxa"/>
              <w:left w:w="108" w:type="dxa"/>
              <w:bottom w:w="0" w:type="dxa"/>
              <w:right w:w="108" w:type="dxa"/>
            </w:tcMar>
          </w:tcPr>
          <w:p w:rsidR="009E0B87" w:rsidRPr="0044196C" w:rsidRDefault="009E0B87"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30-44</w:t>
            </w:r>
          </w:p>
        </w:tc>
        <w:tc>
          <w:tcPr>
            <w:tcW w:w="4853"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top w:w="0" w:type="dxa"/>
              <w:left w:w="108" w:type="dxa"/>
              <w:bottom w:w="0" w:type="dxa"/>
              <w:right w:w="108" w:type="dxa"/>
            </w:tcMar>
          </w:tcPr>
          <w:p w:rsidR="009E0B87" w:rsidRPr="0044196C" w:rsidRDefault="009E0B87"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Существенно сниженная</w:t>
            </w:r>
          </w:p>
        </w:tc>
      </w:tr>
      <w:tr w:rsidR="009E0B87" w:rsidRPr="0044196C" w:rsidTr="00DE609C">
        <w:tc>
          <w:tcPr>
            <w:tcW w:w="1276"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108" w:type="dxa"/>
              <w:bottom w:w="0" w:type="dxa"/>
              <w:right w:w="108" w:type="dxa"/>
            </w:tcMar>
          </w:tcPr>
          <w:p w:rsidR="009E0B87" w:rsidRPr="0044196C" w:rsidRDefault="004C6F95" w:rsidP="002C3C24">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rPr>
            </w:pPr>
            <w:r w:rsidRPr="0044196C">
              <w:rPr>
                <w:rFonts w:asciiTheme="minorHAnsi" w:hAnsiTheme="minorHAnsi"/>
                <w:b/>
                <w:color w:val="000000" w:themeColor="text1"/>
                <w:kern w:val="3"/>
                <w:szCs w:val="24"/>
              </w:rPr>
              <w:t xml:space="preserve">С </w:t>
            </w:r>
            <w:r w:rsidR="001C53FE" w:rsidRPr="0044196C">
              <w:rPr>
                <w:rFonts w:asciiTheme="minorHAnsi" w:hAnsiTheme="minorHAnsi"/>
                <w:b/>
                <w:color w:val="000000" w:themeColor="text1"/>
                <w:kern w:val="3"/>
                <w:szCs w:val="24"/>
              </w:rPr>
              <w:t>4</w:t>
            </w:r>
          </w:p>
        </w:tc>
        <w:tc>
          <w:tcPr>
            <w:tcW w:w="3119"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108" w:type="dxa"/>
              <w:bottom w:w="0" w:type="dxa"/>
              <w:right w:w="108" w:type="dxa"/>
            </w:tcMar>
          </w:tcPr>
          <w:p w:rsidR="009E0B87" w:rsidRPr="0044196C" w:rsidRDefault="009E0B87"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15-29</w:t>
            </w:r>
          </w:p>
        </w:tc>
        <w:tc>
          <w:tcPr>
            <w:tcW w:w="4853"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top w:w="0" w:type="dxa"/>
              <w:left w:w="108" w:type="dxa"/>
              <w:bottom w:w="0" w:type="dxa"/>
              <w:right w:w="108" w:type="dxa"/>
            </w:tcMar>
          </w:tcPr>
          <w:p w:rsidR="009E0B87" w:rsidRPr="0044196C" w:rsidRDefault="009E0B87"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Резко сниженная</w:t>
            </w:r>
          </w:p>
        </w:tc>
      </w:tr>
      <w:tr w:rsidR="009E0B87" w:rsidRPr="0044196C" w:rsidTr="00DE609C">
        <w:tc>
          <w:tcPr>
            <w:tcW w:w="1276"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top w:w="0" w:type="dxa"/>
              <w:left w:w="108" w:type="dxa"/>
              <w:bottom w:w="0" w:type="dxa"/>
              <w:right w:w="108" w:type="dxa"/>
            </w:tcMar>
          </w:tcPr>
          <w:p w:rsidR="009E0B87" w:rsidRPr="0044196C" w:rsidRDefault="004C6F95" w:rsidP="002C3C24">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rPr>
            </w:pPr>
            <w:r w:rsidRPr="0044196C">
              <w:rPr>
                <w:rFonts w:asciiTheme="minorHAnsi" w:hAnsiTheme="minorHAnsi"/>
                <w:b/>
                <w:color w:val="000000" w:themeColor="text1"/>
                <w:kern w:val="3"/>
                <w:szCs w:val="24"/>
              </w:rPr>
              <w:t xml:space="preserve">С </w:t>
            </w:r>
            <w:r w:rsidR="001C53FE" w:rsidRPr="0044196C">
              <w:rPr>
                <w:rFonts w:asciiTheme="minorHAnsi" w:hAnsiTheme="minorHAnsi"/>
                <w:b/>
                <w:color w:val="000000" w:themeColor="text1"/>
                <w:kern w:val="3"/>
                <w:szCs w:val="24"/>
              </w:rPr>
              <w:t>5</w:t>
            </w:r>
          </w:p>
        </w:tc>
        <w:tc>
          <w:tcPr>
            <w:tcW w:w="3119"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top w:w="0" w:type="dxa"/>
              <w:left w:w="108" w:type="dxa"/>
              <w:bottom w:w="0" w:type="dxa"/>
              <w:right w:w="108" w:type="dxa"/>
            </w:tcMar>
          </w:tcPr>
          <w:p w:rsidR="009E0B87" w:rsidRPr="0044196C" w:rsidRDefault="009E0B87"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&lt;15</w:t>
            </w:r>
          </w:p>
        </w:tc>
        <w:tc>
          <w:tcPr>
            <w:tcW w:w="4853"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top w:w="0" w:type="dxa"/>
              <w:left w:w="108" w:type="dxa"/>
              <w:bottom w:w="0" w:type="dxa"/>
              <w:right w:w="108" w:type="dxa"/>
            </w:tcMar>
          </w:tcPr>
          <w:p w:rsidR="009E0B87" w:rsidRPr="0044196C" w:rsidRDefault="009E0B87" w:rsidP="002C3C24">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rPr>
            </w:pPr>
            <w:r w:rsidRPr="0044196C">
              <w:rPr>
                <w:rFonts w:asciiTheme="minorHAnsi" w:hAnsiTheme="minorHAnsi"/>
                <w:color w:val="000000" w:themeColor="text1"/>
                <w:kern w:val="3"/>
                <w:szCs w:val="24"/>
              </w:rPr>
              <w:t>Терминальная почечная недостаточность **</w:t>
            </w:r>
          </w:p>
        </w:tc>
      </w:tr>
    </w:tbl>
    <w:p w:rsidR="001C53FE" w:rsidRPr="0044196C" w:rsidRDefault="009E0B87" w:rsidP="002C3C24">
      <w:pPr>
        <w:keepNext/>
        <w:keepLines/>
        <w:suppressAutoHyphens/>
        <w:autoSpaceDN w:val="0"/>
        <w:spacing w:line="240" w:lineRule="auto"/>
        <w:textAlignment w:val="baseline"/>
        <w:rPr>
          <w:i/>
          <w:color w:val="000000" w:themeColor="text1"/>
          <w:kern w:val="3"/>
          <w:sz w:val="22"/>
          <w:szCs w:val="24"/>
        </w:rPr>
      </w:pPr>
      <w:r w:rsidRPr="0044196C">
        <w:rPr>
          <w:i/>
          <w:color w:val="000000" w:themeColor="text1"/>
          <w:kern w:val="3"/>
          <w:sz w:val="22"/>
          <w:szCs w:val="24"/>
        </w:rPr>
        <w:t xml:space="preserve">* </w:t>
      </w:r>
      <w:r w:rsidR="001C53FE" w:rsidRPr="0044196C">
        <w:rPr>
          <w:i/>
          <w:color w:val="000000" w:themeColor="text1"/>
          <w:kern w:val="3"/>
          <w:sz w:val="22"/>
          <w:szCs w:val="24"/>
        </w:rPr>
        <w:t xml:space="preserve">при СКФ </w:t>
      </w:r>
      <w:r w:rsidR="001C53FE" w:rsidRPr="0044196C">
        <w:rPr>
          <w:rFonts w:cs="Times New Roman"/>
          <w:i/>
          <w:color w:val="000000" w:themeColor="text1"/>
          <w:kern w:val="3"/>
          <w:sz w:val="22"/>
          <w:szCs w:val="24"/>
        </w:rPr>
        <w:t>≥</w:t>
      </w:r>
      <w:r w:rsidR="001C53FE" w:rsidRPr="0044196C">
        <w:rPr>
          <w:i/>
          <w:color w:val="000000" w:themeColor="text1"/>
          <w:kern w:val="3"/>
          <w:sz w:val="22"/>
          <w:szCs w:val="24"/>
        </w:rPr>
        <w:t xml:space="preserve"> 60 мл/мин/1,73 </w:t>
      </w:r>
      <w:r w:rsidR="001C53FE" w:rsidRPr="0044196C">
        <w:rPr>
          <w:rFonts w:cs="Times New Roman"/>
          <w:i/>
          <w:color w:val="000000" w:themeColor="text1"/>
          <w:kern w:val="3"/>
          <w:sz w:val="22"/>
          <w:szCs w:val="24"/>
        </w:rPr>
        <w:t>м</w:t>
      </w:r>
      <w:r w:rsidR="001C53FE" w:rsidRPr="0044196C">
        <w:rPr>
          <w:rFonts w:cs="Times New Roman"/>
          <w:i/>
          <w:color w:val="000000" w:themeColor="text1"/>
          <w:kern w:val="3"/>
          <w:sz w:val="22"/>
          <w:szCs w:val="24"/>
          <w:vertAlign w:val="superscript"/>
        </w:rPr>
        <w:t>2</w:t>
      </w:r>
      <w:r w:rsidR="001C53FE" w:rsidRPr="0044196C">
        <w:rPr>
          <w:i/>
          <w:color w:val="000000" w:themeColor="text1"/>
          <w:kern w:val="3"/>
          <w:sz w:val="22"/>
          <w:szCs w:val="24"/>
        </w:rPr>
        <w:t xml:space="preserve"> для диагностики ХБП обязательным является наличие </w:t>
      </w:r>
      <w:r w:rsidRPr="0044196C">
        <w:rPr>
          <w:i/>
          <w:color w:val="000000" w:themeColor="text1"/>
          <w:kern w:val="3"/>
          <w:sz w:val="22"/>
          <w:szCs w:val="24"/>
        </w:rPr>
        <w:t xml:space="preserve">признаков повреждения почек </w:t>
      </w:r>
    </w:p>
    <w:p w:rsidR="009E0B87" w:rsidRPr="0044196C" w:rsidRDefault="009E0B87" w:rsidP="002C3C24">
      <w:pPr>
        <w:keepNext/>
        <w:keepLines/>
        <w:suppressAutoHyphens/>
        <w:autoSpaceDN w:val="0"/>
        <w:spacing w:line="240" w:lineRule="auto"/>
        <w:textAlignment w:val="baseline"/>
        <w:rPr>
          <w:i/>
          <w:color w:val="000000" w:themeColor="text1"/>
          <w:kern w:val="3"/>
          <w:sz w:val="22"/>
          <w:szCs w:val="24"/>
        </w:rPr>
      </w:pPr>
      <w:r w:rsidRPr="0044196C">
        <w:rPr>
          <w:i/>
          <w:color w:val="000000" w:themeColor="text1"/>
          <w:kern w:val="3"/>
          <w:sz w:val="22"/>
          <w:szCs w:val="24"/>
        </w:rPr>
        <w:t xml:space="preserve">**Если пациент </w:t>
      </w:r>
      <w:r w:rsidR="001C53FE" w:rsidRPr="0044196C">
        <w:rPr>
          <w:i/>
          <w:color w:val="000000" w:themeColor="text1"/>
          <w:kern w:val="3"/>
          <w:sz w:val="22"/>
          <w:szCs w:val="24"/>
        </w:rPr>
        <w:t>с терминальной почечной недостаточностью получает лечение диализом, используются обозначения ХБП 5Д (</w:t>
      </w:r>
      <w:r w:rsidR="001C3F89" w:rsidRPr="0044196C">
        <w:rPr>
          <w:i/>
          <w:color w:val="000000" w:themeColor="text1"/>
          <w:kern w:val="3"/>
          <w:sz w:val="22"/>
          <w:szCs w:val="24"/>
        </w:rPr>
        <w:t>т.е. диализ</w:t>
      </w:r>
      <w:r w:rsidR="001C53FE" w:rsidRPr="0044196C">
        <w:rPr>
          <w:i/>
          <w:color w:val="000000" w:themeColor="text1"/>
          <w:kern w:val="3"/>
          <w:sz w:val="22"/>
          <w:szCs w:val="24"/>
        </w:rPr>
        <w:t>)</w:t>
      </w:r>
      <w:r w:rsidR="001C3F89" w:rsidRPr="0044196C">
        <w:rPr>
          <w:i/>
          <w:color w:val="000000" w:themeColor="text1"/>
          <w:kern w:val="3"/>
          <w:sz w:val="22"/>
          <w:szCs w:val="24"/>
        </w:rPr>
        <w:t xml:space="preserve">, либо ХБП 5 ГД (т.е. гемодиализ, ХБП 5 ПД (т.е. перитонеальный диализ). </w:t>
      </w:r>
      <w:r w:rsidR="004C6F95" w:rsidRPr="0044196C">
        <w:rPr>
          <w:i/>
          <w:color w:val="000000" w:themeColor="text1"/>
          <w:kern w:val="3"/>
          <w:sz w:val="22"/>
          <w:szCs w:val="24"/>
        </w:rPr>
        <w:t>Для больных с трансплантированной почкой стадия ХБП индексируется в зависимости от функции трансплантата (от С 1 до С 5), а в конце добавляется  буква Т</w:t>
      </w:r>
      <w:r w:rsidR="001C3F89" w:rsidRPr="0044196C">
        <w:rPr>
          <w:i/>
          <w:color w:val="000000" w:themeColor="text1"/>
          <w:kern w:val="3"/>
          <w:sz w:val="22"/>
          <w:szCs w:val="24"/>
        </w:rPr>
        <w:t>.</w:t>
      </w:r>
    </w:p>
    <w:p w:rsidR="009E0B87" w:rsidRPr="0044196C" w:rsidRDefault="00DE609C" w:rsidP="009E0B87">
      <w:pPr>
        <w:rPr>
          <w:color w:val="000000" w:themeColor="text1"/>
        </w:rPr>
      </w:pPr>
      <w:r w:rsidRPr="0044196C">
        <w:rPr>
          <w:color w:val="000000" w:themeColor="text1"/>
        </w:rPr>
        <w:t xml:space="preserve">Особенности лечения АГ у пациентов, получающих заместительную почечную терапию, рассматриваются в отдельной главе. </w:t>
      </w:r>
    </w:p>
    <w:p w:rsidR="00A10388" w:rsidRPr="0044196C" w:rsidRDefault="00A10388" w:rsidP="00A10388">
      <w:pPr>
        <w:pStyle w:val="af4"/>
        <w:rPr>
          <w:color w:val="000000" w:themeColor="text1"/>
        </w:rPr>
      </w:pPr>
      <w:bookmarkStart w:id="17" w:name="_Ref279581919"/>
      <w:r w:rsidRPr="0044196C">
        <w:rPr>
          <w:color w:val="000000" w:themeColor="text1"/>
        </w:rPr>
        <w:t xml:space="preserve">Таблица </w:t>
      </w:r>
      <w:r w:rsidR="009D7C63" w:rsidRPr="0044196C">
        <w:rPr>
          <w:color w:val="000000" w:themeColor="text1"/>
        </w:rPr>
        <w:fldChar w:fldCharType="begin"/>
      </w:r>
      <w:r w:rsidR="001647A9" w:rsidRPr="0044196C">
        <w:rPr>
          <w:color w:val="000000" w:themeColor="text1"/>
        </w:rPr>
        <w:instrText xml:space="preserve"> SEQ Таблица \* ARABIC </w:instrText>
      </w:r>
      <w:r w:rsidR="009D7C63" w:rsidRPr="0044196C">
        <w:rPr>
          <w:color w:val="000000" w:themeColor="text1"/>
        </w:rPr>
        <w:fldChar w:fldCharType="separate"/>
      </w:r>
      <w:r w:rsidR="00DF40EA" w:rsidRPr="0044196C">
        <w:rPr>
          <w:noProof/>
          <w:color w:val="000000" w:themeColor="text1"/>
        </w:rPr>
        <w:t>5</w:t>
      </w:r>
      <w:r w:rsidR="009D7C63" w:rsidRPr="0044196C">
        <w:rPr>
          <w:noProof/>
          <w:color w:val="000000" w:themeColor="text1"/>
        </w:rPr>
        <w:fldChar w:fldCharType="end"/>
      </w:r>
      <w:bookmarkEnd w:id="17"/>
    </w:p>
    <w:p w:rsidR="00A10388" w:rsidRPr="0044196C" w:rsidRDefault="00A10388" w:rsidP="00A10388">
      <w:pPr>
        <w:pStyle w:val="af4"/>
        <w:rPr>
          <w:color w:val="000000" w:themeColor="text1"/>
        </w:rPr>
      </w:pPr>
      <w:r w:rsidRPr="0044196C">
        <w:rPr>
          <w:color w:val="000000" w:themeColor="text1"/>
        </w:rPr>
        <w:t>Категории альбуминурии</w:t>
      </w:r>
      <w:r w:rsidR="002C3C24" w:rsidRPr="0044196C">
        <w:rPr>
          <w:color w:val="000000" w:themeColor="text1"/>
        </w:rPr>
        <w:t>/</w:t>
      </w:r>
      <w:r w:rsidRPr="0044196C">
        <w:rPr>
          <w:color w:val="000000" w:themeColor="text1"/>
        </w:rPr>
        <w:t>протеинурии</w:t>
      </w:r>
      <w:r w:rsidR="002C3C24" w:rsidRPr="0044196C">
        <w:rPr>
          <w:color w:val="000000" w:themeColor="text1"/>
        </w:rPr>
        <w:t xml:space="preserve">по данным </w:t>
      </w:r>
      <w:r w:rsidR="002C3C24" w:rsidRPr="0044196C">
        <w:rPr>
          <w:color w:val="000000" w:themeColor="text1"/>
        </w:rPr>
        <w:br/>
        <w:t xml:space="preserve">разных методов </w:t>
      </w:r>
      <w:r w:rsidR="00F81D24" w:rsidRPr="0044196C">
        <w:rPr>
          <w:color w:val="000000" w:themeColor="text1"/>
        </w:rPr>
        <w:t>определения</w:t>
      </w:r>
      <w:r w:rsidR="009D7C63" w:rsidRPr="0044196C">
        <w:rPr>
          <w:color w:val="000000" w:themeColor="text1"/>
          <w:lang w:val="en-US"/>
        </w:rPr>
        <w:fldChar w:fldCharType="begin" w:fldLock="1"/>
      </w:r>
      <w:r w:rsidR="00EA3B99" w:rsidRPr="0044196C">
        <w:rPr>
          <w:color w:val="000000" w:themeColor="text1"/>
          <w:lang w:val="en-US"/>
        </w:rPr>
        <w:instrText>ADDIN</w:instrText>
      </w:r>
      <w:r w:rsidR="00EA3B99" w:rsidRPr="0044196C">
        <w:rPr>
          <w:color w:val="000000" w:themeColor="text1"/>
        </w:rPr>
        <w:instrText xml:space="preserve"> </w:instrText>
      </w:r>
      <w:r w:rsidR="00EA3B99" w:rsidRPr="0044196C">
        <w:rPr>
          <w:color w:val="000000" w:themeColor="text1"/>
          <w:lang w:val="en-US"/>
        </w:rPr>
        <w:instrText>CSL</w:instrText>
      </w:r>
      <w:r w:rsidR="00EA3B99" w:rsidRPr="0044196C">
        <w:rPr>
          <w:color w:val="000000" w:themeColor="text1"/>
        </w:rPr>
        <w:instrText>_</w:instrText>
      </w:r>
      <w:r w:rsidR="00EA3B99" w:rsidRPr="0044196C">
        <w:rPr>
          <w:color w:val="000000" w:themeColor="text1"/>
          <w:lang w:val="en-US"/>
        </w:rPr>
        <w:instrText>CITATION</w:instrText>
      </w:r>
      <w:r w:rsidR="00EA3B99" w:rsidRPr="0044196C">
        <w:rPr>
          <w:color w:val="000000" w:themeColor="text1"/>
        </w:rPr>
        <w:instrText xml:space="preserve"> { "</w:instrText>
      </w:r>
      <w:r w:rsidR="00EA3B99" w:rsidRPr="0044196C">
        <w:rPr>
          <w:color w:val="000000" w:themeColor="text1"/>
          <w:lang w:val="en-US"/>
        </w:rPr>
        <w:instrText>citationItems</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DOI</w:instrText>
      </w:r>
      <w:r w:rsidR="00EA3B99" w:rsidRPr="0044196C">
        <w:rPr>
          <w:color w:val="000000" w:themeColor="text1"/>
        </w:rPr>
        <w:instrText>" : "10.1038/</w:instrText>
      </w:r>
      <w:r w:rsidR="00EA3B99" w:rsidRPr="0044196C">
        <w:rPr>
          <w:color w:val="000000" w:themeColor="text1"/>
          <w:lang w:val="en-US"/>
        </w:rPr>
        <w:instrText>ki</w:instrText>
      </w:r>
      <w:r w:rsidR="00EA3B99" w:rsidRPr="0044196C">
        <w:rPr>
          <w:color w:val="000000" w:themeColor="text1"/>
        </w:rPr>
        <w:instrText>.2013.243", "</w:instrText>
      </w:r>
      <w:r w:rsidR="00EA3B99" w:rsidRPr="0044196C">
        <w:rPr>
          <w:color w:val="000000" w:themeColor="text1"/>
          <w:lang w:val="en-US"/>
        </w:rPr>
        <w:instrText>ISSN</w:instrText>
      </w:r>
      <w:r w:rsidR="00EA3B99" w:rsidRPr="0044196C">
        <w:rPr>
          <w:color w:val="000000" w:themeColor="text1"/>
        </w:rPr>
        <w:instrText>" : "1523-1755", "</w:instrText>
      </w:r>
      <w:r w:rsidR="00EA3B99" w:rsidRPr="0044196C">
        <w:rPr>
          <w:color w:val="000000" w:themeColor="text1"/>
          <w:lang w:val="en-US"/>
        </w:rPr>
        <w:instrText>PMID</w:instrText>
      </w:r>
      <w:r w:rsidR="00EA3B99" w:rsidRPr="0044196C">
        <w:rPr>
          <w:color w:val="000000" w:themeColor="text1"/>
        </w:rPr>
        <w:instrText>" : "23989362",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Disease</w:instrText>
      </w:r>
      <w:r w:rsidR="00EA3B99" w:rsidRPr="0044196C">
        <w:rPr>
          <w:color w:val="000000" w:themeColor="text1"/>
        </w:rPr>
        <w:instrText xml:space="preserve"> </w:instrText>
      </w:r>
      <w:r w:rsidR="00EA3B99" w:rsidRPr="0044196C">
        <w:rPr>
          <w:color w:val="000000" w:themeColor="text1"/>
          <w:lang w:val="en-US"/>
        </w:rPr>
        <w:instrText>Improving</w:instrText>
      </w:r>
      <w:r w:rsidR="00EA3B99" w:rsidRPr="0044196C">
        <w:rPr>
          <w:color w:val="000000" w:themeColor="text1"/>
        </w:rPr>
        <w:instrText xml:space="preserve"> </w:instrText>
      </w:r>
      <w:r w:rsidR="00EA3B99" w:rsidRPr="0044196C">
        <w:rPr>
          <w:color w:val="000000" w:themeColor="text1"/>
          <w:lang w:val="en-US"/>
        </w:rPr>
        <w:instrText>Global</w:instrText>
      </w:r>
      <w:r w:rsidR="00EA3B99" w:rsidRPr="0044196C">
        <w:rPr>
          <w:color w:val="000000" w:themeColor="text1"/>
        </w:rPr>
        <w:instrText xml:space="preserve"> </w:instrText>
      </w:r>
      <w:r w:rsidR="00EA3B99" w:rsidRPr="0044196C">
        <w:rPr>
          <w:color w:val="000000" w:themeColor="text1"/>
          <w:lang w:val="en-US"/>
        </w:rPr>
        <w:instrText>Outcomes</w:instrText>
      </w:r>
      <w:r w:rsidR="00EA3B99" w:rsidRPr="0044196C">
        <w:rPr>
          <w:color w:val="000000" w:themeColor="text1"/>
        </w:rPr>
        <w:instrText xml:space="preserve"> (</w:instrText>
      </w:r>
      <w:r w:rsidR="00EA3B99" w:rsidRPr="0044196C">
        <w:rPr>
          <w:color w:val="000000" w:themeColor="text1"/>
          <w:lang w:val="en-US"/>
        </w:rPr>
        <w:instrText>KDIGO</w:instrText>
      </w:r>
      <w:r w:rsidR="00EA3B99" w:rsidRPr="0044196C">
        <w:rPr>
          <w:color w:val="000000" w:themeColor="text1"/>
        </w:rPr>
        <w:instrText xml:space="preserve">) </w:instrText>
      </w:r>
      <w:r w:rsidR="00EA3B99" w:rsidRPr="0044196C">
        <w:rPr>
          <w:color w:val="000000" w:themeColor="text1"/>
          <w:lang w:val="en-US"/>
        </w:rPr>
        <w:instrText>CKD</w:instrText>
      </w:r>
      <w:r w:rsidR="00EA3B99" w:rsidRPr="0044196C">
        <w:rPr>
          <w:color w:val="000000" w:themeColor="text1"/>
        </w:rPr>
        <w:instrText xml:space="preserve"> </w:instrText>
      </w:r>
      <w:r w:rsidR="00EA3B99" w:rsidRPr="0044196C">
        <w:rPr>
          <w:color w:val="000000" w:themeColor="text1"/>
          <w:lang w:val="en-US"/>
        </w:rPr>
        <w:instrText>Work</w:instrText>
      </w:r>
      <w:r w:rsidR="00EA3B99" w:rsidRPr="0044196C">
        <w:rPr>
          <w:color w:val="000000" w:themeColor="text1"/>
        </w:rPr>
        <w:instrText xml:space="preserve"> </w:instrText>
      </w:r>
      <w:r w:rsidR="00EA3B99" w:rsidRPr="0044196C">
        <w:rPr>
          <w:color w:val="000000" w:themeColor="text1"/>
          <w:lang w:val="en-US"/>
        </w:rPr>
        <w:instrText>Group</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international</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issue</w:instrText>
      </w:r>
      <w:r w:rsidR="00EA3B99" w:rsidRPr="0044196C">
        <w:rPr>
          <w:color w:val="000000" w:themeColor="text1"/>
        </w:rPr>
        <w:instrText>" : "3 (1)",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"2013", "9" ] ] }, "</w:instrText>
      </w:r>
      <w:r w:rsidR="00EA3B99" w:rsidRPr="0044196C">
        <w:rPr>
          <w:color w:val="000000" w:themeColor="text1"/>
          <w:lang w:val="en-US"/>
        </w:rPr>
        <w:instrText>page</w:instrText>
      </w:r>
      <w:r w:rsidR="00EA3B99" w:rsidRPr="0044196C">
        <w:rPr>
          <w:color w:val="000000" w:themeColor="text1"/>
        </w:rPr>
        <w:instrText>" : "1-150",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KDIGO</w:instrText>
      </w:r>
      <w:r w:rsidR="00EA3B99" w:rsidRPr="0044196C">
        <w:rPr>
          <w:color w:val="000000" w:themeColor="text1"/>
        </w:rPr>
        <w:instrText xml:space="preserve"> 2012 </w:instrText>
      </w:r>
      <w:r w:rsidR="00EA3B99" w:rsidRPr="0044196C">
        <w:rPr>
          <w:color w:val="000000" w:themeColor="text1"/>
          <w:lang w:val="en-US"/>
        </w:rPr>
        <w:instrText>clinical</w:instrText>
      </w:r>
      <w:r w:rsidR="00EA3B99" w:rsidRPr="0044196C">
        <w:rPr>
          <w:color w:val="000000" w:themeColor="text1"/>
        </w:rPr>
        <w:instrText xml:space="preserve"> </w:instrText>
      </w:r>
      <w:r w:rsidR="00EA3B99" w:rsidRPr="0044196C">
        <w:rPr>
          <w:color w:val="000000" w:themeColor="text1"/>
          <w:lang w:val="en-US"/>
        </w:rPr>
        <w:instrText>practice</w:instrText>
      </w:r>
      <w:r w:rsidR="00EA3B99" w:rsidRPr="0044196C">
        <w:rPr>
          <w:color w:val="000000" w:themeColor="text1"/>
        </w:rPr>
        <w:instrText xml:space="preserve"> </w:instrText>
      </w:r>
      <w:r w:rsidR="00EA3B99" w:rsidRPr="0044196C">
        <w:rPr>
          <w:color w:val="000000" w:themeColor="text1"/>
          <w:lang w:val="en-US"/>
        </w:rPr>
        <w:instrText>guideline</w:instrText>
      </w:r>
      <w:r w:rsidR="00EA3B99" w:rsidRPr="0044196C">
        <w:rPr>
          <w:color w:val="000000" w:themeColor="text1"/>
        </w:rPr>
        <w:instrText xml:space="preserve"> </w:instrText>
      </w:r>
      <w:r w:rsidR="00EA3B99" w:rsidRPr="0044196C">
        <w:rPr>
          <w:color w:val="000000" w:themeColor="text1"/>
          <w:lang w:val="en-US"/>
        </w:rPr>
        <w:instrText>for</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evaluation</w:instrText>
      </w:r>
      <w:r w:rsidR="00EA3B99" w:rsidRPr="0044196C">
        <w:rPr>
          <w:color w:val="000000" w:themeColor="text1"/>
        </w:rPr>
        <w:instrText xml:space="preserve"> </w:instrText>
      </w:r>
      <w:r w:rsidR="00EA3B99" w:rsidRPr="0044196C">
        <w:rPr>
          <w:color w:val="000000" w:themeColor="text1"/>
          <w:lang w:val="en-US"/>
        </w:rPr>
        <w:instrText>and</w:instrText>
      </w:r>
      <w:r w:rsidR="00EA3B99" w:rsidRPr="0044196C">
        <w:rPr>
          <w:color w:val="000000" w:themeColor="text1"/>
        </w:rPr>
        <w:instrText xml:space="preserve"> </w:instrText>
      </w:r>
      <w:r w:rsidR="00EA3B99" w:rsidRPr="0044196C">
        <w:rPr>
          <w:color w:val="000000" w:themeColor="text1"/>
          <w:lang w:val="en-US"/>
        </w:rPr>
        <w:instrText>management</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chronic</w:instrText>
      </w:r>
      <w:r w:rsidR="00EA3B99" w:rsidRPr="0044196C">
        <w:rPr>
          <w:color w:val="000000" w:themeColor="text1"/>
        </w:rPr>
        <w:instrText xml:space="preserve">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disease</w:instrText>
      </w:r>
      <w:r w:rsidR="00EA3B99" w:rsidRPr="0044196C">
        <w:rPr>
          <w:color w:val="000000" w:themeColor="text1"/>
        </w:rPr>
        <w:instrText>",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w:instrText>
      </w:r>
      <w:r w:rsidR="00EA3B99" w:rsidRPr="0044196C">
        <w:rPr>
          <w:color w:val="000000" w:themeColor="text1"/>
          <w:lang w:val="en-US"/>
        </w:rPr>
        <w:instrText>Suppl</w:instrText>
      </w:r>
      <w:r w:rsidR="00EA3B99" w:rsidRPr="0044196C">
        <w:rPr>
          <w:color w:val="000000" w:themeColor="text1"/>
        </w:rPr>
        <w:instrText>"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=5</w:instrText>
      </w:r>
      <w:r w:rsidR="00EA3B99" w:rsidRPr="0044196C">
        <w:rPr>
          <w:color w:val="000000" w:themeColor="text1"/>
          <w:lang w:val="en-US"/>
        </w:rPr>
        <w:instrText>c</w:instrText>
      </w:r>
      <w:r w:rsidR="00EA3B99" w:rsidRPr="0044196C">
        <w:rPr>
          <w:color w:val="000000" w:themeColor="text1"/>
        </w:rPr>
        <w:instrText>67</w:instrText>
      </w:r>
      <w:r w:rsidR="00EA3B99" w:rsidRPr="0044196C">
        <w:rPr>
          <w:color w:val="000000" w:themeColor="text1"/>
          <w:lang w:val="en-US"/>
        </w:rPr>
        <w:instrText>faf</w:instrText>
      </w:r>
      <w:r w:rsidR="00EA3B99" w:rsidRPr="0044196C">
        <w:rPr>
          <w:color w:val="000000" w:themeColor="text1"/>
        </w:rPr>
        <w:instrText>2-1</w:instrText>
      </w:r>
      <w:r w:rsidR="00EA3B99" w:rsidRPr="0044196C">
        <w:rPr>
          <w:color w:val="000000" w:themeColor="text1"/>
          <w:lang w:val="en-US"/>
        </w:rPr>
        <w:instrText>f</w:instrText>
      </w:r>
      <w:r w:rsidR="00EA3B99" w:rsidRPr="0044196C">
        <w:rPr>
          <w:color w:val="000000" w:themeColor="text1"/>
        </w:rPr>
        <w:instrText>34-4</w:instrText>
      </w:r>
      <w:r w:rsidR="00EA3B99" w:rsidRPr="0044196C">
        <w:rPr>
          <w:color w:val="000000" w:themeColor="text1"/>
          <w:lang w:val="en-US"/>
        </w:rPr>
        <w:instrText>d</w:instrText>
      </w:r>
      <w:r w:rsidR="00EA3B99" w:rsidRPr="0044196C">
        <w:rPr>
          <w:color w:val="000000" w:themeColor="text1"/>
        </w:rPr>
        <w:instrText>7</w:instrText>
      </w:r>
      <w:r w:rsidR="00EA3B99" w:rsidRPr="0044196C">
        <w:rPr>
          <w:color w:val="000000" w:themeColor="text1"/>
          <w:lang w:val="en-US"/>
        </w:rPr>
        <w:instrText>c</w:instrText>
      </w:r>
      <w:r w:rsidR="00EA3B99" w:rsidRPr="0044196C">
        <w:rPr>
          <w:color w:val="000000" w:themeColor="text1"/>
        </w:rPr>
        <w:instrText>-8218-93057643</w:instrText>
      </w:r>
      <w:r w:rsidR="00EA3B99" w:rsidRPr="0044196C">
        <w:rPr>
          <w:color w:val="000000" w:themeColor="text1"/>
          <w:lang w:val="en-US"/>
        </w:rPr>
        <w:instrText>becc</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-2",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given</w:instrText>
      </w:r>
      <w:r w:rsidR="00EA3B99" w:rsidRPr="0044196C">
        <w:rPr>
          <w:color w:val="000000" w:themeColor="text1"/>
        </w:rPr>
        <w:instrText>" : "",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-2", "</w:instrText>
      </w:r>
      <w:r w:rsidR="00EA3B99" w:rsidRPr="0044196C">
        <w:rPr>
          <w:color w:val="000000" w:themeColor="text1"/>
          <w:lang w:val="en-US"/>
        </w:rPr>
        <w:instrText>issue</w:instrText>
      </w:r>
      <w:r w:rsidR="00EA3B99" w:rsidRPr="0044196C">
        <w:rPr>
          <w:color w:val="000000" w:themeColor="text1"/>
        </w:rPr>
        <w:instrText>" : "1",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"2012" ] ] }, "</w:instrText>
      </w:r>
      <w:r w:rsidR="00EA3B99" w:rsidRPr="0044196C">
        <w:rPr>
          <w:color w:val="000000" w:themeColor="text1"/>
          <w:lang w:val="en-US"/>
        </w:rPr>
        <w:instrText>page</w:instrText>
      </w:r>
      <w:r w:rsidR="00EA3B99" w:rsidRPr="0044196C">
        <w:rPr>
          <w:color w:val="000000" w:themeColor="text1"/>
        </w:rPr>
        <w:instrText>" : "15-89",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0445\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e</w:instrText>
      </w:r>
      <w:r w:rsidR="00EA3B99" w:rsidRPr="0044196C">
        <w:rPr>
          <w:color w:val="000000" w:themeColor="text1"/>
        </w:rPr>
        <w:instrText>.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0410.\</w:instrText>
      </w:r>
      <w:r w:rsidR="00EA3B99" w:rsidRPr="0044196C">
        <w:rPr>
          <w:color w:val="000000" w:themeColor="text1"/>
          <w:lang w:val="en-US"/>
        </w:rPr>
        <w:instrText>u</w:instrText>
      </w:r>
      <w:r w:rsidR="00EA3B99" w:rsidRPr="0044196C">
        <w:rPr>
          <w:color w:val="000000" w:themeColor="text1"/>
        </w:rPr>
        <w:instrText>0412.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"16"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=6</w:instrText>
      </w:r>
      <w:r w:rsidR="00EA3B99" w:rsidRPr="0044196C">
        <w:rPr>
          <w:color w:val="000000" w:themeColor="text1"/>
          <w:lang w:val="en-US"/>
        </w:rPr>
        <w:instrText>f</w:instrText>
      </w:r>
      <w:r w:rsidR="00EA3B99" w:rsidRPr="0044196C">
        <w:rPr>
          <w:color w:val="000000" w:themeColor="text1"/>
        </w:rPr>
        <w:instrText>3</w:instrText>
      </w:r>
      <w:r w:rsidR="00EA3B99" w:rsidRPr="0044196C">
        <w:rPr>
          <w:color w:val="000000" w:themeColor="text1"/>
          <w:lang w:val="en-US"/>
        </w:rPr>
        <w:instrText>f</w:instrText>
      </w:r>
      <w:r w:rsidR="00EA3B99" w:rsidRPr="0044196C">
        <w:rPr>
          <w:color w:val="000000" w:themeColor="text1"/>
        </w:rPr>
        <w:instrText>8</w:instrText>
      </w:r>
      <w:r w:rsidR="00EA3B99" w:rsidRPr="0044196C">
        <w:rPr>
          <w:color w:val="000000" w:themeColor="text1"/>
          <w:lang w:val="en-US"/>
        </w:rPr>
        <w:instrText>b</w:instrText>
      </w:r>
      <w:r w:rsidR="00EA3B99" w:rsidRPr="0044196C">
        <w:rPr>
          <w:color w:val="000000" w:themeColor="text1"/>
        </w:rPr>
        <w:instrText>87-741</w:instrText>
      </w:r>
      <w:r w:rsidR="00EA3B99" w:rsidRPr="0044196C">
        <w:rPr>
          <w:color w:val="000000" w:themeColor="text1"/>
          <w:lang w:val="en-US"/>
        </w:rPr>
        <w:instrText>f</w:instrText>
      </w:r>
      <w:r w:rsidR="00EA3B99" w:rsidRPr="0044196C">
        <w:rPr>
          <w:color w:val="000000" w:themeColor="text1"/>
        </w:rPr>
        <w:instrText>-475</w:instrText>
      </w:r>
      <w:r w:rsidR="00EA3B99" w:rsidRPr="0044196C">
        <w:rPr>
          <w:color w:val="000000" w:themeColor="text1"/>
          <w:lang w:val="en-US"/>
        </w:rPr>
        <w:instrText>c</w:instrText>
      </w:r>
      <w:r w:rsidR="00EA3B99" w:rsidRPr="0044196C">
        <w:rPr>
          <w:color w:val="000000" w:themeColor="text1"/>
        </w:rPr>
        <w:instrText>-9822-6</w:instrText>
      </w:r>
      <w:r w:rsidR="00EA3B99" w:rsidRPr="0044196C">
        <w:rPr>
          <w:color w:val="000000" w:themeColor="text1"/>
          <w:lang w:val="en-US"/>
        </w:rPr>
        <w:instrText>c</w:instrText>
      </w:r>
      <w:r w:rsidR="00EA3B99" w:rsidRPr="0044196C">
        <w:rPr>
          <w:color w:val="000000" w:themeColor="text1"/>
        </w:rPr>
        <w:instrText>7</w:instrText>
      </w:r>
      <w:r w:rsidR="00EA3B99" w:rsidRPr="0044196C">
        <w:rPr>
          <w:color w:val="000000" w:themeColor="text1"/>
          <w:lang w:val="en-US"/>
        </w:rPr>
        <w:instrText>a</w:instrText>
      </w:r>
      <w:r w:rsidR="00EA3B99" w:rsidRPr="0044196C">
        <w:rPr>
          <w:color w:val="000000" w:themeColor="text1"/>
        </w:rPr>
        <w:instrText>31</w:instrText>
      </w:r>
      <w:r w:rsidR="00EA3B99" w:rsidRPr="0044196C">
        <w:rPr>
          <w:color w:val="000000" w:themeColor="text1"/>
          <w:lang w:val="en-US"/>
        </w:rPr>
        <w:instrText>e</w:instrText>
      </w:r>
      <w:r w:rsidR="00EA3B99" w:rsidRPr="0044196C">
        <w:rPr>
          <w:color w:val="000000" w:themeColor="text1"/>
        </w:rPr>
        <w:instrText>6</w:instrText>
      </w:r>
      <w:r w:rsidR="00EA3B99" w:rsidRPr="0044196C">
        <w:rPr>
          <w:color w:val="000000" w:themeColor="text1"/>
          <w:lang w:val="en-US"/>
        </w:rPr>
        <w:instrText>f</w:instrText>
      </w:r>
      <w:r w:rsidR="00EA3B99" w:rsidRPr="0044196C">
        <w:rPr>
          <w:color w:val="000000" w:themeColor="text1"/>
        </w:rPr>
        <w:instrText>14</w:instrText>
      </w:r>
      <w:r w:rsidR="00EA3B99" w:rsidRPr="0044196C">
        <w:rPr>
          <w:color w:val="000000" w:themeColor="text1"/>
          <w:lang w:val="en-US"/>
        </w:rPr>
        <w:instrText>e</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-3",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given</w:instrText>
      </w:r>
      <w:r w:rsidR="00EA3B99" w:rsidRPr="0044196C">
        <w:rPr>
          <w:color w:val="000000" w:themeColor="text1"/>
        </w:rPr>
        <w:instrText>" : "",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-3", "</w:instrText>
      </w:r>
      <w:r w:rsidR="00EA3B99" w:rsidRPr="0044196C">
        <w:rPr>
          <w:color w:val="000000" w:themeColor="text1"/>
          <w:lang w:val="en-US"/>
        </w:rPr>
        <w:instrText>issue</w:instrText>
      </w:r>
      <w:r w:rsidR="00EA3B99" w:rsidRPr="0044196C">
        <w:rPr>
          <w:color w:val="000000" w:themeColor="text1"/>
        </w:rPr>
        <w:instrText>" : "2",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"2014" ] ] }, "</w:instrText>
      </w:r>
      <w:r w:rsidR="00EA3B99" w:rsidRPr="0044196C">
        <w:rPr>
          <w:color w:val="000000" w:themeColor="text1"/>
          <w:lang w:val="en-US"/>
        </w:rPr>
        <w:instrText>page</w:instrText>
      </w:r>
      <w:r w:rsidR="00EA3B99" w:rsidRPr="0044196C">
        <w:rPr>
          <w:color w:val="000000" w:themeColor="text1"/>
        </w:rPr>
        <w:instrText>" : "4-29",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0443\</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0439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0445\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f</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 \</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0444\</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0434. \</w:instrText>
      </w:r>
      <w:r w:rsidR="00EA3B99" w:rsidRPr="0044196C">
        <w:rPr>
          <w:color w:val="000000" w:themeColor="text1"/>
          <w:lang w:val="en-US"/>
        </w:rPr>
        <w:instrText>u</w:instrText>
      </w:r>
      <w:r w:rsidR="00EA3B99" w:rsidRPr="0044196C">
        <w:rPr>
          <w:color w:val="000000" w:themeColor="text1"/>
        </w:rPr>
        <w:instrText>0412.\</w:instrText>
      </w:r>
      <w:r w:rsidR="00EA3B99" w:rsidRPr="0044196C">
        <w:rPr>
          <w:color w:val="000000" w:themeColor="text1"/>
          <w:lang w:val="en-US"/>
        </w:rPr>
        <w:instrText>u</w:instrText>
      </w:r>
      <w:r w:rsidR="00EA3B99" w:rsidRPr="0044196C">
        <w:rPr>
          <w:color w:val="000000" w:themeColor="text1"/>
        </w:rPr>
        <w:instrText>0421.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0410.\</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0443\</w:instrText>
      </w:r>
      <w:r w:rsidR="00EA3B99" w:rsidRPr="0044196C">
        <w:rPr>
          <w:color w:val="000000" w:themeColor="text1"/>
          <w:lang w:val="en-US"/>
        </w:rPr>
        <w:instrText>u</w:instrText>
      </w:r>
      <w:r w:rsidR="00EA3B99" w:rsidRPr="0044196C">
        <w:rPr>
          <w:color w:val="000000" w:themeColor="text1"/>
        </w:rPr>
        <w:instrText>0445\</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w:instrText>
      </w:r>
      <w:r w:rsidR="00EA3B99" w:rsidRPr="0044196C">
        <w:rPr>
          <w:color w:val="000000" w:themeColor="text1"/>
          <w:lang w:val="en-US"/>
        </w:rPr>
        <w:instrText>abc</w:instrText>
      </w:r>
      <w:r w:rsidR="00EA3B99" w:rsidRPr="0044196C">
        <w:rPr>
          <w:color w:val="000000" w:themeColor="text1"/>
        </w:rPr>
        <w:instrText>5</w:instrText>
      </w:r>
      <w:r w:rsidR="00EA3B99" w:rsidRPr="0044196C">
        <w:rPr>
          <w:color w:val="000000" w:themeColor="text1"/>
          <w:lang w:val="en-US"/>
        </w:rPr>
        <w:instrText>b</w:instrText>
      </w:r>
      <w:r w:rsidR="00EA3B99" w:rsidRPr="0044196C">
        <w:rPr>
          <w:color w:val="000000" w:themeColor="text1"/>
        </w:rPr>
        <w:instrText>621-</w:instrText>
      </w:r>
      <w:r w:rsidR="00EA3B99" w:rsidRPr="0044196C">
        <w:rPr>
          <w:color w:val="000000" w:themeColor="text1"/>
          <w:lang w:val="en-US"/>
        </w:rPr>
        <w:instrText>a</w:instrText>
      </w:r>
      <w:r w:rsidR="00EA3B99" w:rsidRPr="0044196C">
        <w:rPr>
          <w:color w:val="000000" w:themeColor="text1"/>
        </w:rPr>
        <w:instrText>90</w:instrText>
      </w:r>
      <w:r w:rsidR="00EA3B99" w:rsidRPr="0044196C">
        <w:rPr>
          <w:color w:val="000000" w:themeColor="text1"/>
          <w:lang w:val="en-US"/>
        </w:rPr>
        <w:instrText>d</w:instrText>
      </w:r>
      <w:r w:rsidR="00EA3B99" w:rsidRPr="0044196C">
        <w:rPr>
          <w:color w:val="000000" w:themeColor="text1"/>
        </w:rPr>
        <w:instrText>-4650-83</w:instrText>
      </w:r>
      <w:r w:rsidR="00EA3B99" w:rsidRPr="0044196C">
        <w:rPr>
          <w:color w:val="000000" w:themeColor="text1"/>
          <w:lang w:val="en-US"/>
        </w:rPr>
        <w:instrText>a</w:instrText>
      </w:r>
      <w:r w:rsidR="00EA3B99" w:rsidRPr="0044196C">
        <w:rPr>
          <w:color w:val="000000" w:themeColor="text1"/>
        </w:rPr>
        <w:instrText>6-1</w:instrText>
      </w:r>
      <w:r w:rsidR="00EA3B99" w:rsidRPr="0044196C">
        <w:rPr>
          <w:color w:val="000000" w:themeColor="text1"/>
          <w:lang w:val="en-US"/>
        </w:rPr>
        <w:instrText>c</w:instrText>
      </w:r>
      <w:r w:rsidR="00EA3B99" w:rsidRPr="0044196C">
        <w:rPr>
          <w:color w:val="000000" w:themeColor="text1"/>
        </w:rPr>
        <w:instrText>06</w:instrText>
      </w:r>
      <w:r w:rsidR="00EA3B99" w:rsidRPr="0044196C">
        <w:rPr>
          <w:color w:val="000000" w:themeColor="text1"/>
          <w:lang w:val="en-US"/>
        </w:rPr>
        <w:instrText>abc</w:instrText>
      </w:r>
      <w:r w:rsidR="00EA3B99" w:rsidRPr="0044196C">
        <w:rPr>
          <w:color w:val="000000" w:themeColor="text1"/>
        </w:rPr>
        <w:instrText>90498" ] } ], "</w:instrText>
      </w:r>
      <w:r w:rsidR="00EA3B99" w:rsidRPr="0044196C">
        <w:rPr>
          <w:color w:val="000000" w:themeColor="text1"/>
          <w:lang w:val="en-US"/>
        </w:rPr>
        <w:instrText>mendeley</w:instrText>
      </w:r>
      <w:r w:rsidR="00EA3B99" w:rsidRPr="0044196C">
        <w:rPr>
          <w:color w:val="000000" w:themeColor="text1"/>
        </w:rPr>
        <w:instrText>" : { "</w:instrText>
      </w:r>
      <w:r w:rsidR="00EA3B99" w:rsidRPr="0044196C">
        <w:rPr>
          <w:color w:val="000000" w:themeColor="text1"/>
          <w:lang w:val="en-US"/>
        </w:rPr>
        <w:instrText>previouslyFormattedCitation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2012;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 xml:space="preserve">0438, 2014;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Disease</w:instrText>
      </w:r>
      <w:r w:rsidR="00EA3B99" w:rsidRPr="0044196C">
        <w:rPr>
          <w:color w:val="000000" w:themeColor="text1"/>
        </w:rPr>
        <w:instrText xml:space="preserve"> </w:instrText>
      </w:r>
      <w:r w:rsidR="00EA3B99" w:rsidRPr="0044196C">
        <w:rPr>
          <w:color w:val="000000" w:themeColor="text1"/>
          <w:lang w:val="en-US"/>
        </w:rPr>
        <w:instrText>Improving</w:instrText>
      </w:r>
      <w:r w:rsidR="00EA3B99" w:rsidRPr="0044196C">
        <w:rPr>
          <w:color w:val="000000" w:themeColor="text1"/>
        </w:rPr>
        <w:instrText xml:space="preserve"> </w:instrText>
      </w:r>
      <w:r w:rsidR="00EA3B99" w:rsidRPr="0044196C">
        <w:rPr>
          <w:color w:val="000000" w:themeColor="text1"/>
          <w:lang w:val="en-US"/>
        </w:rPr>
        <w:instrText>Global</w:instrText>
      </w:r>
      <w:r w:rsidR="00EA3B99" w:rsidRPr="0044196C">
        <w:rPr>
          <w:color w:val="000000" w:themeColor="text1"/>
        </w:rPr>
        <w:instrText xml:space="preserve"> </w:instrText>
      </w:r>
      <w:r w:rsidR="00EA3B99" w:rsidRPr="0044196C">
        <w:rPr>
          <w:color w:val="000000" w:themeColor="text1"/>
          <w:lang w:val="en-US"/>
        </w:rPr>
        <w:instrText>Outcomes</w:instrText>
      </w:r>
      <w:r w:rsidR="00EA3B99" w:rsidRPr="0044196C">
        <w:rPr>
          <w:color w:val="000000" w:themeColor="text1"/>
        </w:rPr>
        <w:instrText xml:space="preserve"> (</w:instrText>
      </w:r>
      <w:r w:rsidR="00EA3B99" w:rsidRPr="0044196C">
        <w:rPr>
          <w:color w:val="000000" w:themeColor="text1"/>
          <w:lang w:val="en-US"/>
        </w:rPr>
        <w:instrText>KDIGO</w:instrText>
      </w:r>
      <w:r w:rsidR="00EA3B99" w:rsidRPr="0044196C">
        <w:rPr>
          <w:color w:val="000000" w:themeColor="text1"/>
        </w:rPr>
        <w:instrText xml:space="preserve">) </w:instrText>
      </w:r>
      <w:r w:rsidR="00EA3B99" w:rsidRPr="0044196C">
        <w:rPr>
          <w:color w:val="000000" w:themeColor="text1"/>
          <w:lang w:val="en-US"/>
        </w:rPr>
        <w:instrText>CKD</w:instrText>
      </w:r>
      <w:r w:rsidR="00EA3B99" w:rsidRPr="0044196C">
        <w:rPr>
          <w:color w:val="000000" w:themeColor="text1"/>
        </w:rPr>
        <w:instrText xml:space="preserve"> </w:instrText>
      </w:r>
      <w:r w:rsidR="00EA3B99" w:rsidRPr="0044196C">
        <w:rPr>
          <w:color w:val="000000" w:themeColor="text1"/>
          <w:lang w:val="en-US"/>
        </w:rPr>
        <w:instrText>Work</w:instrText>
      </w:r>
      <w:r w:rsidR="00EA3B99" w:rsidRPr="0044196C">
        <w:rPr>
          <w:color w:val="000000" w:themeColor="text1"/>
        </w:rPr>
        <w:instrText xml:space="preserve"> </w:instrText>
      </w:r>
      <w:r w:rsidR="00EA3B99" w:rsidRPr="0044196C">
        <w:rPr>
          <w:color w:val="000000" w:themeColor="text1"/>
          <w:lang w:val="en-US"/>
        </w:rPr>
        <w:instrText>Group</w:instrText>
      </w:r>
      <w:r w:rsidR="00EA3B99" w:rsidRPr="0044196C">
        <w:rPr>
          <w:color w:val="000000" w:themeColor="text1"/>
        </w:rPr>
        <w:instrText>, 2013]" }, "</w:instrText>
      </w:r>
      <w:r w:rsidR="00EA3B99" w:rsidRPr="0044196C">
        <w:rPr>
          <w:color w:val="000000" w:themeColor="text1"/>
          <w:lang w:val="en-US"/>
        </w:rPr>
        <w:instrText>properties</w:instrText>
      </w:r>
      <w:r w:rsidR="00EA3B99" w:rsidRPr="0044196C">
        <w:rPr>
          <w:color w:val="000000" w:themeColor="text1"/>
        </w:rPr>
        <w:instrText>" : { "</w:instrText>
      </w:r>
      <w:r w:rsidR="00EA3B99" w:rsidRPr="0044196C">
        <w:rPr>
          <w:color w:val="000000" w:themeColor="text1"/>
          <w:lang w:val="en-US"/>
        </w:rPr>
        <w:instrText>noteIndex</w:instrText>
      </w:r>
      <w:r w:rsidR="00EA3B99" w:rsidRPr="0044196C">
        <w:rPr>
          <w:color w:val="000000" w:themeColor="text1"/>
        </w:rPr>
        <w:instrText>" : 0 }, "</w:instrText>
      </w:r>
      <w:r w:rsidR="00EA3B99" w:rsidRPr="0044196C">
        <w:rPr>
          <w:color w:val="000000" w:themeColor="text1"/>
          <w:lang w:val="en-US"/>
        </w:rPr>
        <w:instrText>schema</w:instrText>
      </w:r>
      <w:r w:rsidR="00EA3B99" w:rsidRPr="0044196C">
        <w:rPr>
          <w:color w:val="000000" w:themeColor="text1"/>
        </w:rPr>
        <w:instrText>" : "</w:instrText>
      </w:r>
      <w:r w:rsidR="00EA3B99" w:rsidRPr="0044196C">
        <w:rPr>
          <w:color w:val="000000" w:themeColor="text1"/>
          <w:lang w:val="en-US"/>
        </w:rPr>
        <w:instrText>https</w:instrText>
      </w:r>
      <w:r w:rsidR="00EA3B99" w:rsidRPr="0044196C">
        <w:rPr>
          <w:color w:val="000000" w:themeColor="text1"/>
        </w:rPr>
        <w:instrText>://</w:instrText>
      </w:r>
      <w:r w:rsidR="00EA3B99" w:rsidRPr="0044196C">
        <w:rPr>
          <w:color w:val="000000" w:themeColor="text1"/>
          <w:lang w:val="en-US"/>
        </w:rPr>
        <w:instrText>github</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style</w:instrText>
      </w:r>
      <w:r w:rsidR="00EA3B99" w:rsidRPr="0044196C">
        <w:rPr>
          <w:color w:val="000000" w:themeColor="text1"/>
        </w:rPr>
        <w:instrText>-</w:instrText>
      </w:r>
      <w:r w:rsidR="00EA3B99" w:rsidRPr="0044196C">
        <w:rPr>
          <w:color w:val="000000" w:themeColor="text1"/>
          <w:lang w:val="en-US"/>
        </w:rPr>
        <w:instrText>language</w:instrText>
      </w:r>
      <w:r w:rsidR="00EA3B99" w:rsidRPr="0044196C">
        <w:rPr>
          <w:color w:val="000000" w:themeColor="text1"/>
        </w:rPr>
        <w:instrText>/</w:instrText>
      </w:r>
      <w:r w:rsidR="00EA3B99" w:rsidRPr="0044196C">
        <w:rPr>
          <w:color w:val="000000" w:themeColor="text1"/>
          <w:lang w:val="en-US"/>
        </w:rPr>
        <w:instrText>schema</w:instrText>
      </w:r>
      <w:r w:rsidR="00EA3B99" w:rsidRPr="0044196C">
        <w:rPr>
          <w:color w:val="000000" w:themeColor="text1"/>
        </w:rPr>
        <w:instrText>/</w:instrText>
      </w:r>
      <w:r w:rsidR="00EA3B99" w:rsidRPr="0044196C">
        <w:rPr>
          <w:color w:val="000000" w:themeColor="text1"/>
          <w:lang w:val="en-US"/>
        </w:rPr>
        <w:instrText>raw</w:instrText>
      </w:r>
      <w:r w:rsidR="00EA3B99" w:rsidRPr="0044196C">
        <w:rPr>
          <w:color w:val="000000" w:themeColor="text1"/>
        </w:rPr>
        <w:instrText>/</w:instrText>
      </w:r>
      <w:r w:rsidR="00EA3B99" w:rsidRPr="0044196C">
        <w:rPr>
          <w:color w:val="000000" w:themeColor="text1"/>
          <w:lang w:val="en-US"/>
        </w:rPr>
        <w:instrText>master</w:instrText>
      </w:r>
      <w:r w:rsidR="00EA3B99" w:rsidRPr="0044196C">
        <w:rPr>
          <w:color w:val="000000" w:themeColor="text1"/>
        </w:rPr>
        <w:instrText>/</w:instrText>
      </w:r>
      <w:r w:rsidR="00EA3B99" w:rsidRPr="0044196C">
        <w:rPr>
          <w:color w:val="000000" w:themeColor="text1"/>
          <w:lang w:val="en-US"/>
        </w:rPr>
        <w:instrText>csl</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json</w:instrText>
      </w:r>
      <w:r w:rsidR="00EA3B99" w:rsidRPr="0044196C">
        <w:rPr>
          <w:color w:val="000000" w:themeColor="text1"/>
        </w:rPr>
        <w:instrText>" }</w:instrText>
      </w:r>
      <w:r w:rsidR="009D7C63" w:rsidRPr="0044196C">
        <w:rPr>
          <w:color w:val="000000" w:themeColor="text1"/>
          <w:lang w:val="en-US"/>
        </w:rPr>
        <w:fldChar w:fldCharType="separate"/>
      </w:r>
      <w:r w:rsidR="00EA3B99" w:rsidRPr="0044196C">
        <w:rPr>
          <w:b w:val="0"/>
          <w:noProof/>
          <w:color w:val="000000" w:themeColor="text1"/>
        </w:rPr>
        <w:t xml:space="preserve">[Национальные рекомендации, 2012; Национальные рекомендации, 2014; </w:t>
      </w:r>
      <w:r w:rsidR="00EA3B99" w:rsidRPr="0044196C">
        <w:rPr>
          <w:b w:val="0"/>
          <w:noProof/>
          <w:color w:val="000000" w:themeColor="text1"/>
          <w:lang w:val="en-US"/>
        </w:rPr>
        <w:t>Kidney</w:t>
      </w:r>
      <w:r w:rsidR="00EA3B99" w:rsidRPr="0044196C">
        <w:rPr>
          <w:b w:val="0"/>
          <w:noProof/>
          <w:color w:val="000000" w:themeColor="text1"/>
        </w:rPr>
        <w:t xml:space="preserve"> </w:t>
      </w:r>
      <w:r w:rsidR="00EA3B99" w:rsidRPr="0044196C">
        <w:rPr>
          <w:b w:val="0"/>
          <w:noProof/>
          <w:color w:val="000000" w:themeColor="text1"/>
          <w:lang w:val="en-US"/>
        </w:rPr>
        <w:t>Disease</w:t>
      </w:r>
      <w:r w:rsidR="00EA3B99" w:rsidRPr="0044196C">
        <w:rPr>
          <w:b w:val="0"/>
          <w:noProof/>
          <w:color w:val="000000" w:themeColor="text1"/>
        </w:rPr>
        <w:t xml:space="preserve"> </w:t>
      </w:r>
      <w:r w:rsidR="00EA3B99" w:rsidRPr="0044196C">
        <w:rPr>
          <w:b w:val="0"/>
          <w:noProof/>
          <w:color w:val="000000" w:themeColor="text1"/>
          <w:lang w:val="en-US"/>
        </w:rPr>
        <w:t>Improving</w:t>
      </w:r>
      <w:r w:rsidR="00EA3B99" w:rsidRPr="0044196C">
        <w:rPr>
          <w:b w:val="0"/>
          <w:noProof/>
          <w:color w:val="000000" w:themeColor="text1"/>
        </w:rPr>
        <w:t xml:space="preserve"> </w:t>
      </w:r>
      <w:r w:rsidR="00EA3B99" w:rsidRPr="0044196C">
        <w:rPr>
          <w:b w:val="0"/>
          <w:noProof/>
          <w:color w:val="000000" w:themeColor="text1"/>
          <w:lang w:val="en-US"/>
        </w:rPr>
        <w:t>Global</w:t>
      </w:r>
      <w:r w:rsidR="00EA3B99" w:rsidRPr="0044196C">
        <w:rPr>
          <w:b w:val="0"/>
          <w:noProof/>
          <w:color w:val="000000" w:themeColor="text1"/>
        </w:rPr>
        <w:t xml:space="preserve"> </w:t>
      </w:r>
      <w:r w:rsidR="00EA3B99" w:rsidRPr="0044196C">
        <w:rPr>
          <w:b w:val="0"/>
          <w:noProof/>
          <w:color w:val="000000" w:themeColor="text1"/>
          <w:lang w:val="en-US"/>
        </w:rPr>
        <w:t>Outcomes</w:t>
      </w:r>
      <w:r w:rsidR="00EA3B99" w:rsidRPr="0044196C">
        <w:rPr>
          <w:b w:val="0"/>
          <w:noProof/>
          <w:color w:val="000000" w:themeColor="text1"/>
        </w:rPr>
        <w:t xml:space="preserve"> (</w:t>
      </w:r>
      <w:r w:rsidR="00EA3B99" w:rsidRPr="0044196C">
        <w:rPr>
          <w:b w:val="0"/>
          <w:noProof/>
          <w:color w:val="000000" w:themeColor="text1"/>
          <w:lang w:val="en-US"/>
        </w:rPr>
        <w:t>KDIGO</w:t>
      </w:r>
      <w:r w:rsidR="00EA3B99" w:rsidRPr="0044196C">
        <w:rPr>
          <w:b w:val="0"/>
          <w:noProof/>
          <w:color w:val="000000" w:themeColor="text1"/>
        </w:rPr>
        <w:t xml:space="preserve">) </w:t>
      </w:r>
      <w:r w:rsidR="00EA3B99" w:rsidRPr="0044196C">
        <w:rPr>
          <w:b w:val="0"/>
          <w:noProof/>
          <w:color w:val="000000" w:themeColor="text1"/>
          <w:lang w:val="en-US"/>
        </w:rPr>
        <w:t>CKD</w:t>
      </w:r>
      <w:r w:rsidR="00EA3B99" w:rsidRPr="0044196C">
        <w:rPr>
          <w:b w:val="0"/>
          <w:noProof/>
          <w:color w:val="000000" w:themeColor="text1"/>
        </w:rPr>
        <w:t xml:space="preserve"> </w:t>
      </w:r>
      <w:r w:rsidR="00EA3B99" w:rsidRPr="0044196C">
        <w:rPr>
          <w:b w:val="0"/>
          <w:noProof/>
          <w:color w:val="000000" w:themeColor="text1"/>
          <w:lang w:val="en-US"/>
        </w:rPr>
        <w:t>Work</w:t>
      </w:r>
      <w:r w:rsidR="00EA3B99" w:rsidRPr="0044196C">
        <w:rPr>
          <w:b w:val="0"/>
          <w:noProof/>
          <w:color w:val="000000" w:themeColor="text1"/>
        </w:rPr>
        <w:t xml:space="preserve"> </w:t>
      </w:r>
      <w:r w:rsidR="00EA3B99" w:rsidRPr="0044196C">
        <w:rPr>
          <w:b w:val="0"/>
          <w:noProof/>
          <w:color w:val="000000" w:themeColor="text1"/>
          <w:lang w:val="en-US"/>
        </w:rPr>
        <w:t>Group</w:t>
      </w:r>
      <w:r w:rsidR="00EA3B99" w:rsidRPr="0044196C">
        <w:rPr>
          <w:b w:val="0"/>
          <w:noProof/>
          <w:color w:val="000000" w:themeColor="text1"/>
        </w:rPr>
        <w:t>, 2013]</w:t>
      </w:r>
      <w:r w:rsidR="009D7C63" w:rsidRPr="0044196C">
        <w:rPr>
          <w:color w:val="000000" w:themeColor="text1"/>
          <w:lang w:val="en-US"/>
        </w:rPr>
        <w:fldChar w:fldCharType="end"/>
      </w:r>
    </w:p>
    <w:tbl>
      <w:tblPr>
        <w:tblW w:w="9724" w:type="dxa"/>
        <w:tblLayout w:type="fixed"/>
        <w:tblLook w:val="04A0"/>
      </w:tblPr>
      <w:tblGrid>
        <w:gridCol w:w="4230"/>
        <w:gridCol w:w="1843"/>
        <w:gridCol w:w="1701"/>
        <w:gridCol w:w="1950"/>
      </w:tblGrid>
      <w:tr w:rsidR="00055B61" w:rsidRPr="0044196C" w:rsidTr="00254A3B">
        <w:trPr>
          <w:trHeight w:val="1076"/>
        </w:trPr>
        <w:tc>
          <w:tcPr>
            <w:tcW w:w="4230" w:type="dxa"/>
            <w:tcBorders>
              <w:right w:val="single" w:sz="8" w:space="0" w:color="FFFFFF"/>
              <w:tl2br w:val="single" w:sz="8" w:space="0" w:color="FFFFFF"/>
            </w:tcBorders>
            <w:shd w:val="clear" w:color="auto" w:fill="365F91" w:themeFill="accent1" w:themeFillShade="BF"/>
          </w:tcPr>
          <w:p w:rsidR="00055B61" w:rsidRPr="0044196C" w:rsidRDefault="00055B61" w:rsidP="00F81D24">
            <w:pPr>
              <w:suppressAutoHyphens/>
              <w:ind w:firstLine="0"/>
              <w:jc w:val="right"/>
              <w:rPr>
                <w:rFonts w:asciiTheme="minorHAnsi" w:hAnsiTheme="minorHAnsi"/>
                <w:color w:val="000000" w:themeColor="text1"/>
                <w:kern w:val="3"/>
                <w:sz w:val="26"/>
                <w:szCs w:val="26"/>
              </w:rPr>
            </w:pPr>
            <w:r w:rsidRPr="0044196C">
              <w:rPr>
                <w:rFonts w:asciiTheme="minorHAnsi" w:hAnsiTheme="minorHAnsi"/>
                <w:color w:val="000000" w:themeColor="text1"/>
                <w:kern w:val="3"/>
                <w:sz w:val="26"/>
                <w:szCs w:val="26"/>
              </w:rPr>
              <w:t>Категория</w:t>
            </w:r>
          </w:p>
          <w:p w:rsidR="00055B61" w:rsidRPr="0044196C" w:rsidRDefault="00055B61" w:rsidP="002C3C24">
            <w:pPr>
              <w:pStyle w:val="a6"/>
              <w:rPr>
                <w:color w:val="000000" w:themeColor="text1"/>
                <w:sz w:val="4"/>
              </w:rPr>
            </w:pPr>
          </w:p>
          <w:p w:rsidR="00055B61" w:rsidRPr="0044196C" w:rsidRDefault="00055B61" w:rsidP="00F81D24">
            <w:pPr>
              <w:suppressAutoHyphens/>
              <w:spacing w:before="0"/>
              <w:ind w:firstLine="0"/>
              <w:rPr>
                <w:rFonts w:asciiTheme="minorHAnsi" w:hAnsiTheme="minorHAnsi"/>
                <w:color w:val="000000" w:themeColor="text1"/>
                <w:kern w:val="3"/>
                <w:sz w:val="26"/>
                <w:szCs w:val="26"/>
              </w:rPr>
            </w:pPr>
            <w:r w:rsidRPr="0044196C">
              <w:rPr>
                <w:rFonts w:asciiTheme="minorHAnsi" w:hAnsiTheme="minorHAnsi"/>
                <w:color w:val="000000" w:themeColor="text1"/>
                <w:kern w:val="3"/>
                <w:sz w:val="26"/>
                <w:szCs w:val="26"/>
              </w:rPr>
              <w:t xml:space="preserve">Показатель, </w:t>
            </w:r>
            <w:r w:rsidRPr="0044196C">
              <w:rPr>
                <w:rFonts w:asciiTheme="minorHAnsi" w:hAnsiTheme="minorHAnsi"/>
                <w:color w:val="000000" w:themeColor="text1"/>
                <w:kern w:val="3"/>
                <w:sz w:val="26"/>
                <w:szCs w:val="26"/>
              </w:rPr>
              <w:br/>
              <w:t>метод определения</w:t>
            </w:r>
          </w:p>
        </w:tc>
        <w:tc>
          <w:tcPr>
            <w:tcW w:w="1843" w:type="dxa"/>
            <w:tcBorders>
              <w:left w:val="single" w:sz="8" w:space="0" w:color="FFFFFF"/>
              <w:right w:val="single" w:sz="8" w:space="0" w:color="FFFFFF"/>
            </w:tcBorders>
            <w:shd w:val="clear" w:color="auto" w:fill="365F91" w:themeFill="accent1" w:themeFillShade="BF"/>
          </w:tcPr>
          <w:p w:rsidR="00055B61" w:rsidRPr="0044196C" w:rsidRDefault="00055B61" w:rsidP="00151156">
            <w:pPr>
              <w:suppressAutoHyphens/>
              <w:spacing w:line="240" w:lineRule="auto"/>
              <w:ind w:firstLine="0"/>
              <w:jc w:val="center"/>
              <w:rPr>
                <w:rFonts w:asciiTheme="minorHAnsi" w:hAnsiTheme="minorHAnsi"/>
                <w:color w:val="000000" w:themeColor="text1"/>
                <w:kern w:val="3"/>
                <w:sz w:val="26"/>
                <w:szCs w:val="26"/>
              </w:rPr>
            </w:pPr>
            <w:r w:rsidRPr="0044196C">
              <w:rPr>
                <w:rFonts w:asciiTheme="minorHAnsi" w:hAnsiTheme="minorHAnsi"/>
                <w:color w:val="000000" w:themeColor="text1"/>
                <w:kern w:val="3"/>
                <w:szCs w:val="26"/>
              </w:rPr>
              <w:t xml:space="preserve">Норма или незначительно повышенная </w:t>
            </w:r>
            <w:r w:rsidRPr="0044196C">
              <w:rPr>
                <w:rFonts w:asciiTheme="minorHAnsi" w:hAnsiTheme="minorHAnsi"/>
                <w:color w:val="000000" w:themeColor="text1"/>
                <w:kern w:val="3"/>
                <w:sz w:val="26"/>
                <w:szCs w:val="26"/>
              </w:rPr>
              <w:br/>
              <w:t>А1</w:t>
            </w:r>
          </w:p>
        </w:tc>
        <w:tc>
          <w:tcPr>
            <w:tcW w:w="1701" w:type="dxa"/>
            <w:tcBorders>
              <w:left w:val="single" w:sz="8" w:space="0" w:color="FFFFFF"/>
              <w:right w:val="single" w:sz="8" w:space="0" w:color="FFFFFF"/>
            </w:tcBorders>
            <w:shd w:val="clear" w:color="auto" w:fill="365F91" w:themeFill="accent1" w:themeFillShade="BF"/>
          </w:tcPr>
          <w:p w:rsidR="00055B61" w:rsidRPr="0044196C" w:rsidRDefault="00055B61" w:rsidP="006C1E99">
            <w:pPr>
              <w:pStyle w:val="a6"/>
              <w:spacing w:line="240" w:lineRule="auto"/>
              <w:rPr>
                <w:color w:val="000000" w:themeColor="text1"/>
                <w:sz w:val="2"/>
              </w:rPr>
            </w:pPr>
          </w:p>
          <w:p w:rsidR="00055B61" w:rsidRPr="0044196C" w:rsidRDefault="00055B61" w:rsidP="00055B61">
            <w:pPr>
              <w:suppressAutoHyphens/>
              <w:spacing w:line="240" w:lineRule="auto"/>
              <w:ind w:firstLine="0"/>
              <w:jc w:val="center"/>
              <w:rPr>
                <w:rFonts w:asciiTheme="minorHAnsi" w:hAnsiTheme="minorHAnsi"/>
                <w:color w:val="000000" w:themeColor="text1"/>
                <w:kern w:val="3"/>
                <w:sz w:val="14"/>
                <w:szCs w:val="26"/>
              </w:rPr>
            </w:pPr>
            <w:r w:rsidRPr="0044196C">
              <w:rPr>
                <w:rFonts w:asciiTheme="minorHAnsi" w:hAnsiTheme="minorHAnsi"/>
                <w:color w:val="000000" w:themeColor="text1"/>
                <w:kern w:val="3"/>
                <w:szCs w:val="26"/>
              </w:rPr>
              <w:t>Высокая</w:t>
            </w:r>
            <w:r w:rsidRPr="0044196C">
              <w:rPr>
                <w:rFonts w:asciiTheme="minorHAnsi" w:hAnsiTheme="minorHAnsi"/>
                <w:color w:val="000000" w:themeColor="text1"/>
                <w:kern w:val="3"/>
                <w:sz w:val="26"/>
                <w:szCs w:val="26"/>
              </w:rPr>
              <w:br/>
            </w:r>
            <w:r w:rsidRPr="0044196C">
              <w:rPr>
                <w:rFonts w:asciiTheme="minorHAnsi" w:hAnsiTheme="minorHAnsi"/>
                <w:color w:val="000000" w:themeColor="text1"/>
                <w:kern w:val="3"/>
                <w:sz w:val="18"/>
                <w:szCs w:val="26"/>
              </w:rPr>
              <w:br/>
            </w:r>
            <w:r w:rsidRPr="0044196C">
              <w:rPr>
                <w:rFonts w:asciiTheme="minorHAnsi" w:hAnsiTheme="minorHAnsi"/>
                <w:color w:val="000000" w:themeColor="text1"/>
                <w:kern w:val="3"/>
                <w:sz w:val="18"/>
                <w:szCs w:val="26"/>
              </w:rPr>
              <w:br/>
            </w:r>
            <w:r w:rsidRPr="0044196C">
              <w:rPr>
                <w:rFonts w:asciiTheme="minorHAnsi" w:hAnsiTheme="minorHAnsi"/>
                <w:color w:val="000000" w:themeColor="text1"/>
                <w:kern w:val="3"/>
                <w:sz w:val="26"/>
                <w:szCs w:val="26"/>
              </w:rPr>
              <w:t>А2</w:t>
            </w:r>
          </w:p>
        </w:tc>
        <w:tc>
          <w:tcPr>
            <w:tcW w:w="1950" w:type="dxa"/>
            <w:tcBorders>
              <w:left w:val="single" w:sz="8" w:space="0" w:color="FFFFFF"/>
            </w:tcBorders>
            <w:shd w:val="clear" w:color="auto" w:fill="365F91" w:themeFill="accent1" w:themeFillShade="BF"/>
          </w:tcPr>
          <w:p w:rsidR="00055B61" w:rsidRPr="0044196C" w:rsidRDefault="00055B61" w:rsidP="006C1E99">
            <w:pPr>
              <w:pStyle w:val="a6"/>
              <w:spacing w:line="240" w:lineRule="auto"/>
              <w:rPr>
                <w:color w:val="000000" w:themeColor="text1"/>
                <w:sz w:val="2"/>
              </w:rPr>
            </w:pPr>
          </w:p>
          <w:p w:rsidR="00055B61" w:rsidRPr="0044196C" w:rsidRDefault="00055B61" w:rsidP="006C1E99">
            <w:pPr>
              <w:suppressAutoHyphens/>
              <w:spacing w:line="240" w:lineRule="auto"/>
              <w:ind w:firstLine="0"/>
              <w:jc w:val="center"/>
              <w:rPr>
                <w:rFonts w:asciiTheme="minorHAnsi" w:hAnsiTheme="minorHAnsi"/>
                <w:color w:val="000000" w:themeColor="text1"/>
                <w:kern w:val="3"/>
                <w:sz w:val="26"/>
                <w:szCs w:val="26"/>
              </w:rPr>
            </w:pPr>
            <w:r w:rsidRPr="0044196C">
              <w:rPr>
                <w:rFonts w:asciiTheme="minorHAnsi" w:hAnsiTheme="minorHAnsi"/>
                <w:color w:val="000000" w:themeColor="text1"/>
                <w:kern w:val="3"/>
                <w:szCs w:val="26"/>
              </w:rPr>
              <w:t>Очень высокая*</w:t>
            </w:r>
            <w:r w:rsidRPr="0044196C">
              <w:rPr>
                <w:rFonts w:asciiTheme="minorHAnsi" w:hAnsiTheme="minorHAnsi"/>
                <w:color w:val="000000" w:themeColor="text1"/>
                <w:kern w:val="3"/>
                <w:sz w:val="26"/>
                <w:szCs w:val="26"/>
              </w:rPr>
              <w:br/>
            </w:r>
            <w:r w:rsidRPr="0044196C">
              <w:rPr>
                <w:rFonts w:asciiTheme="minorHAnsi" w:hAnsiTheme="minorHAnsi"/>
                <w:color w:val="000000" w:themeColor="text1"/>
                <w:kern w:val="3"/>
                <w:sz w:val="18"/>
                <w:szCs w:val="26"/>
              </w:rPr>
              <w:br/>
            </w:r>
            <w:r w:rsidRPr="0044196C">
              <w:rPr>
                <w:rFonts w:asciiTheme="minorHAnsi" w:hAnsiTheme="minorHAnsi"/>
                <w:color w:val="000000" w:themeColor="text1"/>
                <w:kern w:val="3"/>
                <w:sz w:val="18"/>
                <w:szCs w:val="26"/>
              </w:rPr>
              <w:br/>
            </w:r>
            <w:r w:rsidRPr="0044196C">
              <w:rPr>
                <w:rFonts w:asciiTheme="minorHAnsi" w:hAnsiTheme="minorHAnsi"/>
                <w:color w:val="000000" w:themeColor="text1"/>
                <w:kern w:val="3"/>
                <w:sz w:val="26"/>
                <w:szCs w:val="26"/>
              </w:rPr>
              <w:t>А3</w:t>
            </w:r>
          </w:p>
        </w:tc>
      </w:tr>
      <w:tr w:rsidR="00F81D24" w:rsidRPr="0044196C" w:rsidTr="00254A3B">
        <w:tc>
          <w:tcPr>
            <w:tcW w:w="9724" w:type="dxa"/>
            <w:gridSpan w:val="4"/>
            <w:shd w:val="clear" w:color="auto" w:fill="B8CCE4" w:themeFill="accent1" w:themeFillTint="66"/>
          </w:tcPr>
          <w:p w:rsidR="00A10388" w:rsidRPr="0044196C" w:rsidRDefault="00DB40FC" w:rsidP="004761A9">
            <w:pPr>
              <w:suppressAutoHyphens/>
              <w:spacing w:before="20" w:after="20" w:line="240" w:lineRule="auto"/>
              <w:ind w:firstLine="0"/>
              <w:jc w:val="left"/>
              <w:rPr>
                <w:rFonts w:asciiTheme="minorHAnsi" w:hAnsiTheme="minorHAnsi"/>
                <w:color w:val="000000" w:themeColor="text1"/>
                <w:kern w:val="3"/>
                <w:szCs w:val="24"/>
              </w:rPr>
            </w:pPr>
            <w:r w:rsidRPr="0044196C">
              <w:rPr>
                <w:rFonts w:asciiTheme="minorHAnsi" w:hAnsiTheme="minorHAnsi"/>
                <w:color w:val="000000" w:themeColor="text1"/>
                <w:kern w:val="3"/>
                <w:szCs w:val="24"/>
              </w:rPr>
              <w:t>Альбуминурия</w:t>
            </w:r>
            <w:r w:rsidR="00F81D24" w:rsidRPr="0044196C">
              <w:rPr>
                <w:rFonts w:asciiTheme="minorHAnsi" w:hAnsiTheme="minorHAnsi"/>
                <w:color w:val="000000" w:themeColor="text1"/>
                <w:kern w:val="3"/>
                <w:szCs w:val="24"/>
              </w:rPr>
              <w:t>:</w:t>
            </w:r>
          </w:p>
        </w:tc>
      </w:tr>
      <w:tr w:rsidR="00F81D24" w:rsidRPr="0044196C" w:rsidTr="00254A3B">
        <w:tc>
          <w:tcPr>
            <w:tcW w:w="4230" w:type="dxa"/>
            <w:shd w:val="clear" w:color="auto" w:fill="DBE5F1" w:themeFill="accent1" w:themeFillTint="33"/>
          </w:tcPr>
          <w:p w:rsidR="00A10388" w:rsidRPr="0044196C" w:rsidRDefault="00DB40FC" w:rsidP="00151156">
            <w:pPr>
              <w:suppressAutoHyphens/>
              <w:spacing w:before="40" w:after="40" w:line="240" w:lineRule="auto"/>
              <w:ind w:firstLine="0"/>
              <w:jc w:val="left"/>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С</w:t>
            </w:r>
            <w:r w:rsidR="00F81D24" w:rsidRPr="0044196C">
              <w:rPr>
                <w:rFonts w:asciiTheme="minorHAnsi" w:hAnsiTheme="minorHAnsi"/>
                <w:color w:val="000000" w:themeColor="text1"/>
                <w:kern w:val="3"/>
                <w:sz w:val="22"/>
                <w:szCs w:val="24"/>
              </w:rPr>
              <w:t>уточная экскреция</w:t>
            </w:r>
            <w:r w:rsidRPr="0044196C">
              <w:rPr>
                <w:rFonts w:asciiTheme="minorHAnsi" w:hAnsiTheme="minorHAnsi"/>
                <w:color w:val="000000" w:themeColor="text1"/>
                <w:kern w:val="3"/>
                <w:sz w:val="22"/>
                <w:szCs w:val="24"/>
              </w:rPr>
              <w:t xml:space="preserve"> альбумина</w:t>
            </w:r>
            <w:r w:rsidR="00F81D24" w:rsidRPr="0044196C">
              <w:rPr>
                <w:rFonts w:asciiTheme="minorHAnsi" w:hAnsiTheme="minorHAnsi"/>
                <w:color w:val="000000" w:themeColor="text1"/>
                <w:kern w:val="3"/>
                <w:sz w:val="22"/>
                <w:szCs w:val="24"/>
              </w:rPr>
              <w:t xml:space="preserve">, </w:t>
            </w:r>
            <w:r w:rsidR="00A10388" w:rsidRPr="0044196C">
              <w:rPr>
                <w:rFonts w:asciiTheme="minorHAnsi" w:hAnsiTheme="minorHAnsi"/>
                <w:color w:val="000000" w:themeColor="text1"/>
                <w:kern w:val="3"/>
                <w:sz w:val="22"/>
                <w:szCs w:val="24"/>
              </w:rPr>
              <w:t>мг/сут</w:t>
            </w:r>
          </w:p>
        </w:tc>
        <w:tc>
          <w:tcPr>
            <w:tcW w:w="1843" w:type="dxa"/>
            <w:shd w:val="clear" w:color="auto" w:fill="BDFFBD"/>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&lt;30</w:t>
            </w:r>
          </w:p>
        </w:tc>
        <w:tc>
          <w:tcPr>
            <w:tcW w:w="1701" w:type="dxa"/>
            <w:shd w:val="clear" w:color="auto" w:fill="FFFF99"/>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30-300</w:t>
            </w:r>
          </w:p>
        </w:tc>
        <w:tc>
          <w:tcPr>
            <w:tcW w:w="1950" w:type="dxa"/>
            <w:shd w:val="clear" w:color="auto" w:fill="FFCCFF"/>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&gt;300</w:t>
            </w:r>
          </w:p>
        </w:tc>
      </w:tr>
      <w:tr w:rsidR="00F81D24" w:rsidRPr="0044196C" w:rsidTr="00254A3B">
        <w:tc>
          <w:tcPr>
            <w:tcW w:w="4230" w:type="dxa"/>
            <w:shd w:val="clear" w:color="auto" w:fill="DBE5F1" w:themeFill="accent1" w:themeFillTint="33"/>
          </w:tcPr>
          <w:p w:rsidR="00A10388" w:rsidRPr="0044196C" w:rsidRDefault="00A10388" w:rsidP="00151156">
            <w:pPr>
              <w:suppressAutoHyphens/>
              <w:spacing w:before="40" w:after="40" w:line="240" w:lineRule="auto"/>
              <w:ind w:firstLine="0"/>
              <w:jc w:val="left"/>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А/Кр</w:t>
            </w:r>
            <w:r w:rsidR="00F81D24" w:rsidRPr="0044196C">
              <w:rPr>
                <w:rFonts w:asciiTheme="minorHAnsi" w:hAnsiTheme="minorHAnsi"/>
                <w:color w:val="000000" w:themeColor="text1"/>
                <w:kern w:val="3"/>
                <w:sz w:val="22"/>
                <w:szCs w:val="24"/>
              </w:rPr>
              <w:t xml:space="preserve">в разовой порции </w:t>
            </w:r>
            <w:r w:rsidRPr="0044196C">
              <w:rPr>
                <w:rFonts w:asciiTheme="minorHAnsi" w:hAnsiTheme="minorHAnsi"/>
                <w:color w:val="000000" w:themeColor="text1"/>
                <w:kern w:val="3"/>
                <w:sz w:val="22"/>
                <w:szCs w:val="24"/>
              </w:rPr>
              <w:t>мочи, мг/ г</w:t>
            </w:r>
          </w:p>
        </w:tc>
        <w:tc>
          <w:tcPr>
            <w:tcW w:w="1843" w:type="dxa"/>
            <w:shd w:val="clear" w:color="auto" w:fill="BDFFBD"/>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&lt;30</w:t>
            </w:r>
          </w:p>
        </w:tc>
        <w:tc>
          <w:tcPr>
            <w:tcW w:w="1701" w:type="dxa"/>
            <w:shd w:val="clear" w:color="auto" w:fill="FFFF99"/>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30-300</w:t>
            </w:r>
          </w:p>
        </w:tc>
        <w:tc>
          <w:tcPr>
            <w:tcW w:w="1950" w:type="dxa"/>
            <w:shd w:val="clear" w:color="auto" w:fill="FFCCFF"/>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&gt;300</w:t>
            </w:r>
          </w:p>
        </w:tc>
      </w:tr>
      <w:tr w:rsidR="00F81D24" w:rsidRPr="0044196C" w:rsidTr="00254A3B">
        <w:tc>
          <w:tcPr>
            <w:tcW w:w="4230" w:type="dxa"/>
            <w:shd w:val="clear" w:color="auto" w:fill="DBE5F1" w:themeFill="accent1" w:themeFillTint="33"/>
          </w:tcPr>
          <w:p w:rsidR="00A10388" w:rsidRPr="0044196C" w:rsidRDefault="00A10388" w:rsidP="00151156">
            <w:pPr>
              <w:suppressAutoHyphens/>
              <w:spacing w:before="40" w:after="40" w:line="240" w:lineRule="auto"/>
              <w:ind w:firstLine="0"/>
              <w:jc w:val="left"/>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А/Кр</w:t>
            </w:r>
            <w:r w:rsidR="00F81D24" w:rsidRPr="0044196C">
              <w:rPr>
                <w:rFonts w:asciiTheme="minorHAnsi" w:hAnsiTheme="minorHAnsi"/>
                <w:color w:val="000000" w:themeColor="text1"/>
                <w:kern w:val="3"/>
                <w:sz w:val="22"/>
                <w:szCs w:val="24"/>
              </w:rPr>
              <w:t>в разовой порции мочи</w:t>
            </w:r>
            <w:r w:rsidRPr="0044196C">
              <w:rPr>
                <w:rFonts w:asciiTheme="minorHAnsi" w:hAnsiTheme="minorHAnsi"/>
                <w:color w:val="000000" w:themeColor="text1"/>
                <w:kern w:val="3"/>
                <w:sz w:val="22"/>
                <w:szCs w:val="24"/>
              </w:rPr>
              <w:t>, мг/ммоль</w:t>
            </w:r>
          </w:p>
        </w:tc>
        <w:tc>
          <w:tcPr>
            <w:tcW w:w="1843" w:type="dxa"/>
            <w:shd w:val="clear" w:color="auto" w:fill="BDFFBD"/>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&lt;3</w:t>
            </w:r>
          </w:p>
        </w:tc>
        <w:tc>
          <w:tcPr>
            <w:tcW w:w="1701" w:type="dxa"/>
            <w:shd w:val="clear" w:color="auto" w:fill="FFFF99"/>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3-30</w:t>
            </w:r>
          </w:p>
        </w:tc>
        <w:tc>
          <w:tcPr>
            <w:tcW w:w="1950" w:type="dxa"/>
            <w:shd w:val="clear" w:color="auto" w:fill="FFCCFF"/>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&gt;30</w:t>
            </w:r>
          </w:p>
        </w:tc>
      </w:tr>
      <w:tr w:rsidR="00F81D24" w:rsidRPr="0044196C" w:rsidTr="00254A3B">
        <w:tc>
          <w:tcPr>
            <w:tcW w:w="9724" w:type="dxa"/>
            <w:gridSpan w:val="4"/>
            <w:shd w:val="clear" w:color="auto" w:fill="B8CCE4" w:themeFill="accent1" w:themeFillTint="66"/>
          </w:tcPr>
          <w:p w:rsidR="00A10388" w:rsidRPr="0044196C" w:rsidRDefault="00DB40FC" w:rsidP="004761A9">
            <w:pPr>
              <w:suppressAutoHyphens/>
              <w:spacing w:before="20" w:after="20" w:line="240" w:lineRule="auto"/>
              <w:ind w:firstLine="0"/>
              <w:jc w:val="left"/>
              <w:rPr>
                <w:rFonts w:asciiTheme="minorHAnsi" w:hAnsiTheme="minorHAnsi"/>
                <w:color w:val="000000" w:themeColor="text1"/>
                <w:kern w:val="3"/>
                <w:szCs w:val="24"/>
              </w:rPr>
            </w:pPr>
            <w:r w:rsidRPr="0044196C">
              <w:rPr>
                <w:rFonts w:asciiTheme="minorHAnsi" w:hAnsiTheme="minorHAnsi"/>
                <w:color w:val="000000" w:themeColor="text1"/>
                <w:kern w:val="3"/>
                <w:szCs w:val="24"/>
              </w:rPr>
              <w:t>Протеинурия:</w:t>
            </w:r>
          </w:p>
        </w:tc>
      </w:tr>
      <w:tr w:rsidR="00F81D24" w:rsidRPr="0044196C" w:rsidTr="00254A3B">
        <w:tc>
          <w:tcPr>
            <w:tcW w:w="4230" w:type="dxa"/>
            <w:shd w:val="clear" w:color="auto" w:fill="DBE5F1" w:themeFill="accent1" w:themeFillTint="33"/>
          </w:tcPr>
          <w:p w:rsidR="00A10388" w:rsidRPr="0044196C" w:rsidRDefault="00DB40FC" w:rsidP="00151156">
            <w:pPr>
              <w:suppressAutoHyphens/>
              <w:spacing w:before="40" w:after="40" w:line="240" w:lineRule="auto"/>
              <w:ind w:firstLine="0"/>
              <w:jc w:val="left"/>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С</w:t>
            </w:r>
            <w:r w:rsidR="00F81D24" w:rsidRPr="0044196C">
              <w:rPr>
                <w:rFonts w:asciiTheme="minorHAnsi" w:hAnsiTheme="minorHAnsi"/>
                <w:color w:val="000000" w:themeColor="text1"/>
                <w:kern w:val="3"/>
                <w:sz w:val="22"/>
                <w:szCs w:val="24"/>
              </w:rPr>
              <w:t>уточная экскреция</w:t>
            </w:r>
            <w:r w:rsidRPr="0044196C">
              <w:rPr>
                <w:rFonts w:asciiTheme="minorHAnsi" w:hAnsiTheme="minorHAnsi"/>
                <w:color w:val="000000" w:themeColor="text1"/>
                <w:kern w:val="3"/>
                <w:sz w:val="22"/>
                <w:szCs w:val="24"/>
              </w:rPr>
              <w:t xml:space="preserve"> общего белка </w:t>
            </w:r>
            <w:r w:rsidRPr="0044196C">
              <w:rPr>
                <w:rFonts w:asciiTheme="minorHAnsi" w:hAnsiTheme="minorHAnsi"/>
                <w:color w:val="000000" w:themeColor="text1"/>
                <w:kern w:val="3"/>
                <w:sz w:val="22"/>
                <w:szCs w:val="24"/>
              </w:rPr>
              <w:br/>
              <w:t>(суточная протеинурия)</w:t>
            </w:r>
            <w:r w:rsidR="00F81D24" w:rsidRPr="0044196C">
              <w:rPr>
                <w:rFonts w:asciiTheme="minorHAnsi" w:hAnsiTheme="minorHAnsi"/>
                <w:color w:val="000000" w:themeColor="text1"/>
                <w:kern w:val="3"/>
                <w:sz w:val="22"/>
                <w:szCs w:val="24"/>
              </w:rPr>
              <w:t>, мг/сут</w:t>
            </w:r>
          </w:p>
        </w:tc>
        <w:tc>
          <w:tcPr>
            <w:tcW w:w="1843" w:type="dxa"/>
            <w:shd w:val="clear" w:color="auto" w:fill="BDFFBD"/>
            <w:vAlign w:val="center"/>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&lt;150</w:t>
            </w:r>
          </w:p>
        </w:tc>
        <w:tc>
          <w:tcPr>
            <w:tcW w:w="1701" w:type="dxa"/>
            <w:shd w:val="clear" w:color="auto" w:fill="FFFF99"/>
            <w:vAlign w:val="center"/>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150-500</w:t>
            </w:r>
          </w:p>
        </w:tc>
        <w:tc>
          <w:tcPr>
            <w:tcW w:w="1950" w:type="dxa"/>
            <w:shd w:val="clear" w:color="auto" w:fill="FFCCFF"/>
            <w:vAlign w:val="center"/>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&gt;500</w:t>
            </w:r>
          </w:p>
        </w:tc>
      </w:tr>
      <w:tr w:rsidR="00F81D24" w:rsidRPr="0044196C" w:rsidTr="00254A3B">
        <w:tc>
          <w:tcPr>
            <w:tcW w:w="4230" w:type="dxa"/>
            <w:shd w:val="clear" w:color="auto" w:fill="DBE5F1" w:themeFill="accent1" w:themeFillTint="33"/>
          </w:tcPr>
          <w:p w:rsidR="00A10388" w:rsidRPr="0044196C" w:rsidRDefault="00A10388" w:rsidP="00151156">
            <w:pPr>
              <w:suppressAutoHyphens/>
              <w:spacing w:before="40" w:after="40" w:line="240" w:lineRule="auto"/>
              <w:ind w:firstLine="0"/>
              <w:jc w:val="left"/>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О</w:t>
            </w:r>
            <w:r w:rsidR="00DB40FC" w:rsidRPr="0044196C">
              <w:rPr>
                <w:rFonts w:asciiTheme="minorHAnsi" w:hAnsiTheme="minorHAnsi"/>
                <w:color w:val="000000" w:themeColor="text1"/>
                <w:kern w:val="3"/>
                <w:sz w:val="22"/>
                <w:szCs w:val="24"/>
              </w:rPr>
              <w:t>Б</w:t>
            </w:r>
            <w:r w:rsidRPr="0044196C">
              <w:rPr>
                <w:rFonts w:asciiTheme="minorHAnsi" w:hAnsiTheme="minorHAnsi"/>
                <w:color w:val="000000" w:themeColor="text1"/>
                <w:kern w:val="3"/>
                <w:sz w:val="22"/>
                <w:szCs w:val="24"/>
              </w:rPr>
              <w:t>/Кр</w:t>
            </w:r>
            <w:r w:rsidR="00DB40FC" w:rsidRPr="0044196C">
              <w:rPr>
                <w:rFonts w:asciiTheme="minorHAnsi" w:hAnsiTheme="minorHAnsi"/>
                <w:color w:val="000000" w:themeColor="text1"/>
                <w:kern w:val="3"/>
                <w:sz w:val="22"/>
                <w:szCs w:val="24"/>
              </w:rPr>
              <w:t>в разовой порции мочи, мг/ г</w:t>
            </w:r>
          </w:p>
        </w:tc>
        <w:tc>
          <w:tcPr>
            <w:tcW w:w="1843" w:type="dxa"/>
            <w:shd w:val="clear" w:color="auto" w:fill="BDFFBD"/>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&lt;150</w:t>
            </w:r>
          </w:p>
        </w:tc>
        <w:tc>
          <w:tcPr>
            <w:tcW w:w="1701" w:type="dxa"/>
            <w:shd w:val="clear" w:color="auto" w:fill="FFFF99"/>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150-500</w:t>
            </w:r>
          </w:p>
        </w:tc>
        <w:tc>
          <w:tcPr>
            <w:tcW w:w="1950" w:type="dxa"/>
            <w:shd w:val="clear" w:color="auto" w:fill="FFCCFF"/>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&gt;500</w:t>
            </w:r>
          </w:p>
        </w:tc>
      </w:tr>
      <w:tr w:rsidR="00F81D24" w:rsidRPr="0044196C" w:rsidTr="00254A3B">
        <w:tc>
          <w:tcPr>
            <w:tcW w:w="4230" w:type="dxa"/>
            <w:shd w:val="clear" w:color="auto" w:fill="DBE5F1" w:themeFill="accent1" w:themeFillTint="33"/>
          </w:tcPr>
          <w:p w:rsidR="00A10388" w:rsidRPr="0044196C" w:rsidRDefault="00A10388" w:rsidP="00151156">
            <w:pPr>
              <w:suppressAutoHyphens/>
              <w:spacing w:before="40" w:after="40" w:line="240" w:lineRule="auto"/>
              <w:ind w:firstLine="0"/>
              <w:jc w:val="left"/>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О</w:t>
            </w:r>
            <w:r w:rsidR="00DB40FC" w:rsidRPr="0044196C">
              <w:rPr>
                <w:rFonts w:asciiTheme="minorHAnsi" w:hAnsiTheme="minorHAnsi"/>
                <w:color w:val="000000" w:themeColor="text1"/>
                <w:kern w:val="3"/>
                <w:sz w:val="22"/>
                <w:szCs w:val="24"/>
              </w:rPr>
              <w:t>Б</w:t>
            </w:r>
            <w:r w:rsidRPr="0044196C">
              <w:rPr>
                <w:rFonts w:asciiTheme="minorHAnsi" w:hAnsiTheme="minorHAnsi"/>
                <w:color w:val="000000" w:themeColor="text1"/>
                <w:kern w:val="3"/>
                <w:sz w:val="22"/>
                <w:szCs w:val="24"/>
              </w:rPr>
              <w:t>/Кр</w:t>
            </w:r>
            <w:r w:rsidR="00DB40FC" w:rsidRPr="0044196C">
              <w:rPr>
                <w:rFonts w:asciiTheme="minorHAnsi" w:hAnsiTheme="minorHAnsi"/>
                <w:color w:val="000000" w:themeColor="text1"/>
                <w:kern w:val="3"/>
                <w:sz w:val="22"/>
                <w:szCs w:val="24"/>
              </w:rPr>
              <w:t>в разовой порции мочи, мг/ммоль</w:t>
            </w:r>
          </w:p>
        </w:tc>
        <w:tc>
          <w:tcPr>
            <w:tcW w:w="1843" w:type="dxa"/>
            <w:shd w:val="clear" w:color="auto" w:fill="BDFFBD"/>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&lt;15</w:t>
            </w:r>
          </w:p>
        </w:tc>
        <w:tc>
          <w:tcPr>
            <w:tcW w:w="1701" w:type="dxa"/>
            <w:shd w:val="clear" w:color="auto" w:fill="FFFF99"/>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15-50</w:t>
            </w:r>
          </w:p>
        </w:tc>
        <w:tc>
          <w:tcPr>
            <w:tcW w:w="1950" w:type="dxa"/>
            <w:shd w:val="clear" w:color="auto" w:fill="FFCCFF"/>
          </w:tcPr>
          <w:p w:rsidR="00A10388" w:rsidRPr="0044196C" w:rsidRDefault="00A10388" w:rsidP="00151156">
            <w:pPr>
              <w:suppressAutoHyphens/>
              <w:spacing w:before="40" w:after="40" w:line="240" w:lineRule="auto"/>
              <w:ind w:firstLine="0"/>
              <w:jc w:val="center"/>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&gt;50</w:t>
            </w:r>
          </w:p>
        </w:tc>
      </w:tr>
      <w:tr w:rsidR="00DB40FC" w:rsidRPr="0044196C" w:rsidTr="00254A3B">
        <w:tc>
          <w:tcPr>
            <w:tcW w:w="4230" w:type="dxa"/>
            <w:shd w:val="clear" w:color="auto" w:fill="DBE5F1" w:themeFill="accent1" w:themeFillTint="33"/>
          </w:tcPr>
          <w:p w:rsidR="00DB40FC" w:rsidRPr="0044196C" w:rsidRDefault="00DB40FC" w:rsidP="00151156">
            <w:pPr>
              <w:suppressAutoHyphens/>
              <w:spacing w:before="40" w:after="40" w:line="240" w:lineRule="auto"/>
              <w:ind w:firstLine="0"/>
              <w:jc w:val="left"/>
              <w:rPr>
                <w:rFonts w:asciiTheme="minorHAnsi" w:hAnsiTheme="minorHAnsi"/>
                <w:color w:val="000000" w:themeColor="text1"/>
                <w:kern w:val="3"/>
                <w:szCs w:val="24"/>
              </w:rPr>
            </w:pPr>
            <w:r w:rsidRPr="0044196C">
              <w:rPr>
                <w:rFonts w:asciiTheme="minorHAnsi" w:hAnsiTheme="minorHAnsi"/>
                <w:color w:val="000000" w:themeColor="text1"/>
                <w:kern w:val="3"/>
                <w:sz w:val="22"/>
                <w:szCs w:val="24"/>
              </w:rPr>
              <w:t>Тест-полоски на протеинурию</w:t>
            </w:r>
          </w:p>
        </w:tc>
        <w:tc>
          <w:tcPr>
            <w:tcW w:w="1843" w:type="dxa"/>
            <w:shd w:val="clear" w:color="auto" w:fill="BDFFBD"/>
          </w:tcPr>
          <w:p w:rsidR="00DB40FC" w:rsidRPr="0044196C" w:rsidRDefault="00DB40FC" w:rsidP="00151156">
            <w:pPr>
              <w:suppressAutoHyphens/>
              <w:spacing w:before="40" w:after="40" w:line="240" w:lineRule="auto"/>
              <w:ind w:firstLine="0"/>
              <w:jc w:val="center"/>
              <w:rPr>
                <w:rFonts w:asciiTheme="minorHAnsi" w:hAnsiTheme="minorHAnsi"/>
                <w:color w:val="000000" w:themeColor="text1"/>
                <w:kern w:val="3"/>
                <w:sz w:val="20"/>
                <w:szCs w:val="24"/>
              </w:rPr>
            </w:pPr>
            <w:r w:rsidRPr="0044196C">
              <w:rPr>
                <w:rFonts w:asciiTheme="minorHAnsi" w:hAnsiTheme="minorHAnsi"/>
                <w:color w:val="000000" w:themeColor="text1"/>
                <w:kern w:val="3"/>
                <w:sz w:val="20"/>
                <w:szCs w:val="24"/>
              </w:rPr>
              <w:t>«нет» или «следы»</w:t>
            </w:r>
          </w:p>
        </w:tc>
        <w:tc>
          <w:tcPr>
            <w:tcW w:w="1701" w:type="dxa"/>
            <w:shd w:val="clear" w:color="auto" w:fill="FFFF99"/>
          </w:tcPr>
          <w:p w:rsidR="00DB40FC" w:rsidRPr="0044196C" w:rsidRDefault="00DB40FC" w:rsidP="00151156">
            <w:pPr>
              <w:suppressAutoHyphens/>
              <w:spacing w:before="40" w:after="40" w:line="240" w:lineRule="auto"/>
              <w:ind w:firstLine="0"/>
              <w:jc w:val="center"/>
              <w:rPr>
                <w:rFonts w:asciiTheme="minorHAnsi" w:hAnsiTheme="minorHAnsi"/>
                <w:color w:val="000000" w:themeColor="text1"/>
                <w:kern w:val="3"/>
                <w:sz w:val="20"/>
                <w:szCs w:val="24"/>
              </w:rPr>
            </w:pPr>
            <w:r w:rsidRPr="0044196C">
              <w:rPr>
                <w:rFonts w:asciiTheme="minorHAnsi" w:hAnsiTheme="minorHAnsi"/>
                <w:color w:val="000000" w:themeColor="text1"/>
                <w:kern w:val="3"/>
                <w:sz w:val="20"/>
                <w:szCs w:val="24"/>
              </w:rPr>
              <w:t>«следы» или «+»</w:t>
            </w:r>
          </w:p>
        </w:tc>
        <w:tc>
          <w:tcPr>
            <w:tcW w:w="1950" w:type="dxa"/>
            <w:shd w:val="clear" w:color="auto" w:fill="FFCCFF"/>
          </w:tcPr>
          <w:p w:rsidR="00DB40FC" w:rsidRPr="0044196C" w:rsidRDefault="00DB40FC" w:rsidP="00151156">
            <w:pPr>
              <w:suppressAutoHyphens/>
              <w:spacing w:before="40" w:after="40" w:line="240" w:lineRule="auto"/>
              <w:ind w:firstLine="0"/>
              <w:jc w:val="center"/>
              <w:rPr>
                <w:rFonts w:asciiTheme="minorHAnsi" w:hAnsiTheme="minorHAnsi"/>
                <w:color w:val="000000" w:themeColor="text1"/>
                <w:kern w:val="3"/>
                <w:sz w:val="20"/>
                <w:szCs w:val="24"/>
              </w:rPr>
            </w:pPr>
            <w:r w:rsidRPr="0044196C">
              <w:rPr>
                <w:rFonts w:asciiTheme="minorHAnsi" w:hAnsiTheme="minorHAnsi"/>
                <w:color w:val="000000" w:themeColor="text1"/>
                <w:kern w:val="3"/>
                <w:sz w:val="20"/>
                <w:szCs w:val="24"/>
              </w:rPr>
              <w:t>«+» и более</w:t>
            </w:r>
          </w:p>
        </w:tc>
      </w:tr>
    </w:tbl>
    <w:p w:rsidR="009E0B87" w:rsidRPr="0044196C" w:rsidRDefault="00A10388" w:rsidP="004761A9">
      <w:pPr>
        <w:suppressAutoHyphens/>
        <w:autoSpaceDN w:val="0"/>
        <w:spacing w:line="240" w:lineRule="auto"/>
        <w:ind w:left="360" w:firstLine="0"/>
        <w:jc w:val="left"/>
        <w:textAlignment w:val="baseline"/>
        <w:rPr>
          <w:color w:val="000000" w:themeColor="text1"/>
          <w:sz w:val="22"/>
        </w:rPr>
      </w:pPr>
      <w:r w:rsidRPr="0044196C">
        <w:rPr>
          <w:i/>
          <w:color w:val="000000" w:themeColor="text1"/>
          <w:kern w:val="3"/>
          <w:sz w:val="22"/>
          <w:szCs w:val="24"/>
        </w:rPr>
        <w:t xml:space="preserve">А/Кр – отношение </w:t>
      </w:r>
      <w:r w:rsidR="008B5DBC" w:rsidRPr="0044196C">
        <w:rPr>
          <w:i/>
          <w:color w:val="000000" w:themeColor="text1"/>
          <w:kern w:val="3"/>
          <w:sz w:val="22"/>
          <w:szCs w:val="24"/>
        </w:rPr>
        <w:t xml:space="preserve">концентраций </w:t>
      </w:r>
      <w:r w:rsidRPr="0044196C">
        <w:rPr>
          <w:i/>
          <w:color w:val="000000" w:themeColor="text1"/>
          <w:kern w:val="3"/>
          <w:sz w:val="22"/>
          <w:szCs w:val="24"/>
        </w:rPr>
        <w:t>альбумин</w:t>
      </w:r>
      <w:r w:rsidR="008B5DBC" w:rsidRPr="0044196C">
        <w:rPr>
          <w:i/>
          <w:color w:val="000000" w:themeColor="text1"/>
          <w:kern w:val="3"/>
          <w:sz w:val="22"/>
          <w:szCs w:val="24"/>
        </w:rPr>
        <w:t xml:space="preserve">а и </w:t>
      </w:r>
      <w:r w:rsidRPr="0044196C">
        <w:rPr>
          <w:i/>
          <w:color w:val="000000" w:themeColor="text1"/>
          <w:kern w:val="3"/>
          <w:sz w:val="22"/>
          <w:szCs w:val="24"/>
        </w:rPr>
        <w:t>креатинин</w:t>
      </w:r>
      <w:r w:rsidR="008B5DBC" w:rsidRPr="0044196C">
        <w:rPr>
          <w:i/>
          <w:color w:val="000000" w:themeColor="text1"/>
          <w:kern w:val="3"/>
          <w:sz w:val="22"/>
          <w:szCs w:val="24"/>
        </w:rPr>
        <w:t>а</w:t>
      </w:r>
      <w:r w:rsidRPr="0044196C">
        <w:rPr>
          <w:i/>
          <w:color w:val="000000" w:themeColor="text1"/>
          <w:kern w:val="3"/>
          <w:sz w:val="22"/>
          <w:szCs w:val="24"/>
        </w:rPr>
        <w:t xml:space="preserve">,Об/Кр– отношение </w:t>
      </w:r>
      <w:r w:rsidR="008B5DBC" w:rsidRPr="0044196C">
        <w:rPr>
          <w:i/>
          <w:color w:val="000000" w:themeColor="text1"/>
          <w:kern w:val="3"/>
          <w:sz w:val="22"/>
          <w:szCs w:val="24"/>
        </w:rPr>
        <w:t>концентраций общего белка и креатинина</w:t>
      </w:r>
      <w:r w:rsidR="004761A9" w:rsidRPr="0044196C">
        <w:rPr>
          <w:i/>
          <w:color w:val="000000" w:themeColor="text1"/>
          <w:kern w:val="3"/>
          <w:sz w:val="22"/>
          <w:szCs w:val="24"/>
        </w:rPr>
        <w:br/>
      </w:r>
      <w:r w:rsidR="00055B61" w:rsidRPr="0044196C">
        <w:rPr>
          <w:i/>
          <w:color w:val="000000" w:themeColor="text1"/>
          <w:kern w:val="3"/>
          <w:sz w:val="22"/>
          <w:szCs w:val="24"/>
        </w:rPr>
        <w:t>* – включая нефротический синдром, при котором суточная экскреция альбумина &gt; 2200 мг/сут, А/Кр&gt; 2200 мг/г или 220 мг/ммоль, суточная протеинурия &gt;3500 мг/сут, ОБ/Кр&gt; 3500 мг/г или 350 мг/ммоль</w:t>
      </w:r>
    </w:p>
    <w:p w:rsidR="003E5B9B" w:rsidRPr="0044196C" w:rsidRDefault="003E5B9B" w:rsidP="00622DC7">
      <w:pPr>
        <w:pStyle w:val="10"/>
        <w:numPr>
          <w:ilvl w:val="0"/>
          <w:numId w:val="3"/>
        </w:numPr>
        <w:rPr>
          <w:color w:val="000000" w:themeColor="text1"/>
        </w:rPr>
      </w:pPr>
      <w:bookmarkStart w:id="18" w:name="_Toc279732193"/>
      <w:bookmarkStart w:id="19" w:name="_Toc279831040"/>
      <w:r w:rsidRPr="0044196C">
        <w:rPr>
          <w:color w:val="000000" w:themeColor="text1"/>
        </w:rPr>
        <w:lastRenderedPageBreak/>
        <w:t xml:space="preserve">Частота АГ при различных заболеваниях почек. </w:t>
      </w:r>
      <w:r w:rsidR="00D66F66" w:rsidRPr="0044196C">
        <w:rPr>
          <w:color w:val="000000" w:themeColor="text1"/>
        </w:rPr>
        <w:br/>
      </w:r>
      <w:r w:rsidRPr="0044196C">
        <w:rPr>
          <w:color w:val="000000" w:themeColor="text1"/>
        </w:rPr>
        <w:t xml:space="preserve">Клиническое и прогностическое значение </w:t>
      </w:r>
      <w:r w:rsidR="00D66F66" w:rsidRPr="0044196C">
        <w:rPr>
          <w:color w:val="000000" w:themeColor="text1"/>
        </w:rPr>
        <w:br/>
      </w:r>
      <w:r w:rsidRPr="0044196C">
        <w:rPr>
          <w:color w:val="000000" w:themeColor="text1"/>
        </w:rPr>
        <w:t>вторичной почечной АГ</w:t>
      </w:r>
      <w:bookmarkEnd w:id="18"/>
      <w:bookmarkEnd w:id="19"/>
    </w:p>
    <w:p w:rsidR="009946BA" w:rsidRPr="0044196C" w:rsidRDefault="001212D1" w:rsidP="009946BA">
      <w:pPr>
        <w:pStyle w:val="a0"/>
        <w:rPr>
          <w:color w:val="000000" w:themeColor="text1"/>
        </w:rPr>
      </w:pPr>
      <w:bookmarkStart w:id="20" w:name="_Toc279732194"/>
      <w:r w:rsidRPr="0044196C">
        <w:rPr>
          <w:color w:val="000000" w:themeColor="text1"/>
        </w:rPr>
        <w:t xml:space="preserve">Трактовку вторичной почечной АГ следует проводить с учетом патогенетических особенностей данного заболевания почек, </w:t>
      </w:r>
      <w:r w:rsidR="009946BA" w:rsidRPr="0044196C">
        <w:rPr>
          <w:color w:val="000000" w:themeColor="text1"/>
        </w:rPr>
        <w:t>его стадии и всего комплекса его клинических проявлений</w:t>
      </w:r>
      <w:r w:rsidR="0047532B" w:rsidRPr="0044196C">
        <w:rPr>
          <w:color w:val="000000" w:themeColor="text1"/>
        </w:rPr>
        <w:t>. Наличие АГ, как правило</w:t>
      </w:r>
      <w:r w:rsidR="009946BA" w:rsidRPr="0044196C">
        <w:rPr>
          <w:color w:val="000000" w:themeColor="text1"/>
        </w:rPr>
        <w:t>,</w:t>
      </w:r>
      <w:r w:rsidR="008D0B25" w:rsidRPr="0044196C">
        <w:rPr>
          <w:color w:val="000000" w:themeColor="text1"/>
        </w:rPr>
        <w:t>свидетельствует</w:t>
      </w:r>
      <w:r w:rsidR="009946BA" w:rsidRPr="0044196C">
        <w:rPr>
          <w:color w:val="000000" w:themeColor="text1"/>
        </w:rPr>
        <w:t xml:space="preserve"> о повышенной активности и более тяжелом течении нефропатии (НГ).</w:t>
      </w:r>
      <w:bookmarkEnd w:id="20"/>
    </w:p>
    <w:p w:rsidR="001C413C" w:rsidRPr="0044196C" w:rsidRDefault="007070F1" w:rsidP="009946BA">
      <w:pPr>
        <w:rPr>
          <w:color w:val="000000" w:themeColor="text1"/>
        </w:rPr>
      </w:pPr>
      <w:r w:rsidRPr="0044196C">
        <w:rPr>
          <w:color w:val="000000" w:themeColor="text1"/>
        </w:rPr>
        <w:t xml:space="preserve">Частота АГ при ХБП 3-5 значительно выше, чем в общей популяции, и увеличивается по мере снижения функции почек. </w:t>
      </w:r>
      <w:r w:rsidR="001C413C" w:rsidRPr="0044196C">
        <w:rPr>
          <w:color w:val="000000" w:themeColor="text1"/>
        </w:rPr>
        <w:t xml:space="preserve">Связь АГ с </w:t>
      </w:r>
      <w:r w:rsidR="00AD20D4" w:rsidRPr="0044196C">
        <w:rPr>
          <w:color w:val="000000" w:themeColor="text1"/>
        </w:rPr>
        <w:t>СКФ</w:t>
      </w:r>
      <w:r w:rsidR="001C413C" w:rsidRPr="0044196C">
        <w:rPr>
          <w:color w:val="000000" w:themeColor="text1"/>
        </w:rPr>
        <w:t xml:space="preserve"> показана в крупных </w:t>
      </w:r>
      <w:r w:rsidR="004C6F58" w:rsidRPr="0044196C">
        <w:rPr>
          <w:color w:val="000000" w:themeColor="text1"/>
        </w:rPr>
        <w:t>популяционных</w:t>
      </w:r>
      <w:r w:rsidR="001C413C" w:rsidRPr="0044196C">
        <w:rPr>
          <w:color w:val="000000" w:themeColor="text1"/>
        </w:rPr>
        <w:t xml:space="preserve"> исследованиях</w:t>
      </w:r>
      <w:r w:rsidR="00B971C6" w:rsidRPr="0044196C">
        <w:rPr>
          <w:color w:val="000000" w:themeColor="text1"/>
        </w:rPr>
        <w:t xml:space="preserve"> </w:t>
      </w:r>
      <w:r w:rsidR="001C413C" w:rsidRPr="0044196C">
        <w:rPr>
          <w:color w:val="000000" w:themeColor="text1"/>
        </w:rPr>
        <w:t>[].</w:t>
      </w:r>
      <w:r w:rsidR="004C6F58" w:rsidRPr="0044196C">
        <w:rPr>
          <w:color w:val="000000" w:themeColor="text1"/>
        </w:rPr>
        <w:t>На 1-2 стадиях ХБП частота АГ составляет 40%, то есть близка к частоте АГ в общей популяции. При СКФ ниже 60 мл/мин/1,73 м</w:t>
      </w:r>
      <w:r w:rsidR="004C6F58" w:rsidRPr="0044196C">
        <w:rPr>
          <w:color w:val="000000" w:themeColor="text1"/>
          <w:vertAlign w:val="superscript"/>
        </w:rPr>
        <w:t>2</w:t>
      </w:r>
      <w:r w:rsidR="004C6F58" w:rsidRPr="0044196C">
        <w:rPr>
          <w:color w:val="000000" w:themeColor="text1"/>
        </w:rPr>
        <w:t xml:space="preserve"> частота АГ резко увеличивается и при СКФ ниже 30 мл/мин/1,73 м</w:t>
      </w:r>
      <w:r w:rsidR="004C6F58" w:rsidRPr="0044196C">
        <w:rPr>
          <w:color w:val="000000" w:themeColor="text1"/>
          <w:vertAlign w:val="superscript"/>
        </w:rPr>
        <w:t>2</w:t>
      </w:r>
      <w:r w:rsidR="004C6F58" w:rsidRPr="0044196C">
        <w:rPr>
          <w:color w:val="000000" w:themeColor="text1"/>
        </w:rPr>
        <w:t xml:space="preserve"> достигает 75%</w:t>
      </w:r>
      <w:r w:rsidR="00480F77" w:rsidRPr="0044196C">
        <w:rPr>
          <w:color w:val="000000" w:themeColor="text1"/>
        </w:rPr>
        <w:t>, а у больных с ТПН превышает 90%</w:t>
      </w:r>
      <w:r w:rsidR="004C6F58" w:rsidRPr="0044196C">
        <w:rPr>
          <w:color w:val="000000" w:themeColor="text1"/>
        </w:rPr>
        <w:t>.</w:t>
      </w:r>
    </w:p>
    <w:p w:rsidR="00AD20D4" w:rsidRPr="0044196C" w:rsidRDefault="00AD20D4" w:rsidP="00AD20D4">
      <w:pPr>
        <w:rPr>
          <w:color w:val="000000" w:themeColor="text1"/>
        </w:rPr>
      </w:pPr>
      <w:r w:rsidRPr="0044196C">
        <w:rPr>
          <w:color w:val="000000" w:themeColor="text1"/>
        </w:rPr>
        <w:t>Частота и выраженность АГ зависит от нозологического диагноза</w:t>
      </w:r>
      <w:r w:rsidR="00480F77" w:rsidRPr="0044196C">
        <w:rPr>
          <w:color w:val="000000" w:themeColor="text1"/>
        </w:rPr>
        <w:t>, особенно на ранних стадиях ХБП</w:t>
      </w:r>
      <w:r w:rsidRPr="0044196C">
        <w:rPr>
          <w:color w:val="000000" w:themeColor="text1"/>
        </w:rPr>
        <w:t xml:space="preserve">. АГ занимает важное место в клинической картине различных заболеваний почек, отражает их активность и особенности течения. </w:t>
      </w:r>
    </w:p>
    <w:p w:rsidR="00496209" w:rsidRPr="0044196C" w:rsidRDefault="00C90B41" w:rsidP="00D122F4">
      <w:pPr>
        <w:tabs>
          <w:tab w:val="left" w:pos="3573"/>
        </w:tabs>
        <w:rPr>
          <w:rFonts w:cs="Times New Roman"/>
          <w:color w:val="000000" w:themeColor="text1"/>
        </w:rPr>
      </w:pPr>
      <w:r w:rsidRPr="0044196C">
        <w:rPr>
          <w:rFonts w:cs="Times New Roman"/>
          <w:color w:val="000000" w:themeColor="text1"/>
        </w:rPr>
        <w:t xml:space="preserve">Наиболее высокая частота АГ отмечается при </w:t>
      </w:r>
      <w:r w:rsidRPr="0044196C">
        <w:rPr>
          <w:rFonts w:cs="Times New Roman"/>
          <w:b/>
          <w:color w:val="000000" w:themeColor="text1"/>
        </w:rPr>
        <w:t>сосудистых нефропатиях</w:t>
      </w:r>
      <w:r w:rsidRPr="0044196C">
        <w:rPr>
          <w:rFonts w:cs="Times New Roman"/>
          <w:color w:val="000000" w:themeColor="text1"/>
        </w:rPr>
        <w:t xml:space="preserve"> (ишемической болезни почек, тромботических микроангиопатиях) – 80-90% </w:t>
      </w:r>
      <w:r w:rsidR="00CC2B3A" w:rsidRPr="0044196C">
        <w:rPr>
          <w:rFonts w:cs="Times New Roman"/>
          <w:color w:val="000000" w:themeColor="text1"/>
        </w:rPr>
        <w:t>[]</w:t>
      </w:r>
      <w:r w:rsidRPr="0044196C">
        <w:rPr>
          <w:rFonts w:cs="Times New Roman"/>
          <w:color w:val="000000" w:themeColor="text1"/>
        </w:rPr>
        <w:t xml:space="preserve">. </w:t>
      </w:r>
      <w:r w:rsidR="004C6F58" w:rsidRPr="0044196C">
        <w:rPr>
          <w:rFonts w:cs="Times New Roman"/>
          <w:color w:val="000000" w:themeColor="text1"/>
        </w:rPr>
        <w:t xml:space="preserve">АГ развивается на ранних стадиях заболевания, нередко является первым клиническим проявлением поражения почек. </w:t>
      </w:r>
      <w:r w:rsidR="00AC02E9" w:rsidRPr="0044196C">
        <w:rPr>
          <w:rFonts w:cs="Times New Roman"/>
          <w:color w:val="000000" w:themeColor="text1"/>
        </w:rPr>
        <w:t>Тяжесть АГ, как правило, отражает выраженность ишемии почечной ткани</w:t>
      </w:r>
      <w:r w:rsidR="00F40D45" w:rsidRPr="0044196C">
        <w:rPr>
          <w:rFonts w:cs="Times New Roman"/>
          <w:color w:val="000000" w:themeColor="text1"/>
        </w:rPr>
        <w:t xml:space="preserve"> и коррелирует со снижением СКФ. АД и СКФ на ранних стадиях могут быть нормализованы при улучшении почечного кровотока. На поздней стадии заболевания </w:t>
      </w:r>
      <w:r w:rsidR="00AC02E9" w:rsidRPr="0044196C">
        <w:rPr>
          <w:rFonts w:cs="Times New Roman"/>
          <w:color w:val="000000" w:themeColor="text1"/>
        </w:rPr>
        <w:t>спонтанная нормализация АД может быть признаком снижения функции сердца и предвестником острой левожелудочковой недостаточности</w:t>
      </w:r>
      <w:r w:rsidR="00CC2B3A" w:rsidRPr="0044196C">
        <w:rPr>
          <w:rFonts w:cs="Times New Roman"/>
          <w:color w:val="000000" w:themeColor="text1"/>
        </w:rPr>
        <w:t xml:space="preserve"> []</w:t>
      </w:r>
      <w:r w:rsidR="00AC02E9" w:rsidRPr="0044196C">
        <w:rPr>
          <w:rFonts w:cs="Times New Roman"/>
          <w:color w:val="000000" w:themeColor="text1"/>
        </w:rPr>
        <w:t xml:space="preserve">. Для сочетания выраженной АГ, раннего </w:t>
      </w:r>
      <w:r w:rsidR="00F40D45" w:rsidRPr="0044196C">
        <w:rPr>
          <w:rFonts w:cs="Times New Roman"/>
          <w:color w:val="000000" w:themeColor="text1"/>
        </w:rPr>
        <w:t xml:space="preserve">и потенциально обратимого </w:t>
      </w:r>
      <w:r w:rsidR="00AC02E9" w:rsidRPr="0044196C">
        <w:rPr>
          <w:rFonts w:cs="Times New Roman"/>
          <w:color w:val="000000" w:themeColor="text1"/>
        </w:rPr>
        <w:t>снижения СКФ и минимальной протеинурии, характерно</w:t>
      </w:r>
      <w:r w:rsidR="00F40D45" w:rsidRPr="0044196C">
        <w:rPr>
          <w:rFonts w:cs="Times New Roman"/>
          <w:color w:val="000000" w:themeColor="text1"/>
        </w:rPr>
        <w:t>го</w:t>
      </w:r>
      <w:r w:rsidR="00AC02E9" w:rsidRPr="0044196C">
        <w:rPr>
          <w:rFonts w:cs="Times New Roman"/>
          <w:color w:val="000000" w:themeColor="text1"/>
        </w:rPr>
        <w:t xml:space="preserve"> для сосудистых нефропатий, в последние годы предложено название – </w:t>
      </w:r>
      <w:r w:rsidR="00AC02E9" w:rsidRPr="0044196C">
        <w:rPr>
          <w:rFonts w:cs="Times New Roman"/>
          <w:b/>
          <w:color w:val="000000" w:themeColor="text1"/>
        </w:rPr>
        <w:t>с</w:t>
      </w:r>
      <w:r w:rsidR="00496209" w:rsidRPr="0044196C">
        <w:rPr>
          <w:rFonts w:cs="Times New Roman"/>
          <w:b/>
          <w:color w:val="000000" w:themeColor="text1"/>
        </w:rPr>
        <w:t>индром ишемической (сосудистой) нефропатии</w:t>
      </w:r>
      <w:r w:rsidR="00B971C6" w:rsidRPr="0044196C">
        <w:rPr>
          <w:rFonts w:cs="Times New Roman"/>
          <w:b/>
          <w:color w:val="000000" w:themeColor="text1"/>
        </w:rPr>
        <w:t xml:space="preserve"> </w:t>
      </w:r>
      <w:r w:rsidR="00CC2B3A" w:rsidRPr="0044196C">
        <w:rPr>
          <w:rFonts w:cs="Times New Roman"/>
          <w:color w:val="000000" w:themeColor="text1"/>
        </w:rPr>
        <w:t>[]</w:t>
      </w:r>
      <w:r w:rsidR="00AC02E9" w:rsidRPr="0044196C">
        <w:rPr>
          <w:rFonts w:cs="Times New Roman"/>
          <w:color w:val="000000" w:themeColor="text1"/>
        </w:rPr>
        <w:t>.</w:t>
      </w:r>
    </w:p>
    <w:p w:rsidR="00C90B41" w:rsidRPr="0044196C" w:rsidRDefault="00C90B41" w:rsidP="00D122F4">
      <w:pPr>
        <w:tabs>
          <w:tab w:val="left" w:pos="3573"/>
        </w:tabs>
        <w:rPr>
          <w:rFonts w:cs="Times New Roman"/>
          <w:color w:val="000000" w:themeColor="text1"/>
        </w:rPr>
      </w:pPr>
      <w:r w:rsidRPr="0044196C">
        <w:rPr>
          <w:rFonts w:cs="Times New Roman"/>
          <w:color w:val="000000" w:themeColor="text1"/>
        </w:rPr>
        <w:t xml:space="preserve">Высока частота АГ и у пациентов с ХБП при </w:t>
      </w:r>
      <w:r w:rsidRPr="0044196C">
        <w:rPr>
          <w:rFonts w:cs="Times New Roman"/>
          <w:b/>
          <w:color w:val="000000" w:themeColor="text1"/>
        </w:rPr>
        <w:t>сахарном диабете</w:t>
      </w:r>
      <w:r w:rsidRPr="0044196C">
        <w:rPr>
          <w:rFonts w:cs="Times New Roman"/>
          <w:color w:val="000000" w:themeColor="text1"/>
        </w:rPr>
        <w:t xml:space="preserve"> – 70-8</w:t>
      </w:r>
      <w:r w:rsidR="003C5405" w:rsidRPr="0044196C">
        <w:rPr>
          <w:rFonts w:cs="Times New Roman"/>
          <w:color w:val="000000" w:themeColor="text1"/>
        </w:rPr>
        <w:t>5</w:t>
      </w:r>
      <w:r w:rsidRPr="0044196C">
        <w:rPr>
          <w:rFonts w:cs="Times New Roman"/>
          <w:color w:val="000000" w:themeColor="text1"/>
        </w:rPr>
        <w:t>%</w:t>
      </w:r>
      <w:r w:rsidR="00CC2B3A" w:rsidRPr="0044196C">
        <w:rPr>
          <w:rFonts w:cs="Times New Roman"/>
          <w:color w:val="000000" w:themeColor="text1"/>
        </w:rPr>
        <w:t xml:space="preserve"> </w:t>
      </w:r>
      <w:r w:rsidR="00421C4E" w:rsidRPr="0044196C">
        <w:rPr>
          <w:rFonts w:cs="Times New Roman"/>
          <w:color w:val="000000" w:themeColor="text1"/>
        </w:rPr>
        <w:t>[]</w:t>
      </w:r>
      <w:r w:rsidRPr="0044196C">
        <w:rPr>
          <w:rFonts w:cs="Times New Roman"/>
          <w:color w:val="000000" w:themeColor="text1"/>
        </w:rPr>
        <w:t>. Высокий уровень АД отражает тяжест</w:t>
      </w:r>
      <w:r w:rsidR="00421C4E" w:rsidRPr="0044196C">
        <w:rPr>
          <w:rFonts w:cs="Times New Roman"/>
          <w:color w:val="000000" w:themeColor="text1"/>
        </w:rPr>
        <w:t xml:space="preserve">ь поражения почек, выраженность метаболических нарушений, в первую очередь, ожирения. Кроме этого, </w:t>
      </w:r>
      <w:r w:rsidR="00FE75A1" w:rsidRPr="0044196C">
        <w:rPr>
          <w:rFonts w:cs="Times New Roman"/>
          <w:color w:val="000000" w:themeColor="text1"/>
        </w:rPr>
        <w:t>тяжелая АГ</w:t>
      </w:r>
      <w:r w:rsidR="00421C4E" w:rsidRPr="0044196C">
        <w:rPr>
          <w:rFonts w:cs="Times New Roman"/>
          <w:color w:val="000000" w:themeColor="text1"/>
        </w:rPr>
        <w:t xml:space="preserve"> характер</w:t>
      </w:r>
      <w:r w:rsidR="00FE75A1" w:rsidRPr="0044196C">
        <w:rPr>
          <w:rFonts w:cs="Times New Roman"/>
          <w:color w:val="000000" w:themeColor="text1"/>
        </w:rPr>
        <w:t>на</w:t>
      </w:r>
      <w:r w:rsidR="00421C4E" w:rsidRPr="0044196C">
        <w:rPr>
          <w:rFonts w:cs="Times New Roman"/>
          <w:color w:val="000000" w:themeColor="text1"/>
        </w:rPr>
        <w:t xml:space="preserve"> для вторичного атеросклероза почечных артерий, </w:t>
      </w:r>
      <w:r w:rsidR="00F40D45" w:rsidRPr="0044196C">
        <w:rPr>
          <w:rFonts w:cs="Times New Roman"/>
          <w:color w:val="000000" w:themeColor="text1"/>
        </w:rPr>
        <w:t xml:space="preserve">сосудов головного мозга, </w:t>
      </w:r>
      <w:r w:rsidR="00421C4E" w:rsidRPr="0044196C">
        <w:rPr>
          <w:rFonts w:cs="Times New Roman"/>
          <w:color w:val="000000" w:themeColor="text1"/>
        </w:rPr>
        <w:t>который может развиваться независимо от наличия и течения диабетической нефропатии [].</w:t>
      </w:r>
    </w:p>
    <w:p w:rsidR="003C5405" w:rsidRPr="0044196C" w:rsidRDefault="00421C4E" w:rsidP="00D122F4">
      <w:pPr>
        <w:tabs>
          <w:tab w:val="left" w:pos="3573"/>
        </w:tabs>
        <w:rPr>
          <w:rFonts w:cs="Times New Roman"/>
          <w:color w:val="000000" w:themeColor="text1"/>
        </w:rPr>
      </w:pPr>
      <w:r w:rsidRPr="0044196C">
        <w:rPr>
          <w:rFonts w:cs="Times New Roman"/>
          <w:color w:val="000000" w:themeColor="text1"/>
        </w:rPr>
        <w:t>При первичном и вторичных гломерулонефритах АГ встречается в 60-70% случаев</w:t>
      </w:r>
      <w:r w:rsidR="00CC2B3A" w:rsidRPr="0044196C">
        <w:rPr>
          <w:rFonts w:cs="Times New Roman"/>
          <w:color w:val="000000" w:themeColor="text1"/>
        </w:rPr>
        <w:t xml:space="preserve"> </w:t>
      </w:r>
      <w:r w:rsidRPr="0044196C">
        <w:rPr>
          <w:rFonts w:cs="Times New Roman"/>
          <w:color w:val="000000" w:themeColor="text1"/>
        </w:rPr>
        <w:t>[].</w:t>
      </w:r>
      <w:r w:rsidR="00807324" w:rsidRPr="0044196C">
        <w:rPr>
          <w:rFonts w:cs="Times New Roman"/>
          <w:color w:val="000000" w:themeColor="text1"/>
        </w:rPr>
        <w:t xml:space="preserve"> Развитие АГ н</w:t>
      </w:r>
      <w:r w:rsidR="003C5405" w:rsidRPr="0044196C">
        <w:rPr>
          <w:rFonts w:cs="Times New Roman"/>
          <w:color w:val="000000" w:themeColor="text1"/>
        </w:rPr>
        <w:t xml:space="preserve">а ранних стадиях </w:t>
      </w:r>
      <w:r w:rsidR="00807324" w:rsidRPr="0044196C">
        <w:rPr>
          <w:rFonts w:cs="Times New Roman"/>
          <w:color w:val="000000" w:themeColor="text1"/>
        </w:rPr>
        <w:t xml:space="preserve">нефрита в сочетании с гематурией входит в понятие </w:t>
      </w:r>
      <w:r w:rsidR="00807324" w:rsidRPr="0044196C">
        <w:rPr>
          <w:rFonts w:cs="Times New Roman"/>
          <w:b/>
          <w:color w:val="000000" w:themeColor="text1"/>
        </w:rPr>
        <w:t>остронефритический синдром</w:t>
      </w:r>
      <w:r w:rsidR="00807324" w:rsidRPr="0044196C">
        <w:rPr>
          <w:rFonts w:cs="Times New Roman"/>
          <w:color w:val="000000" w:themeColor="text1"/>
        </w:rPr>
        <w:t xml:space="preserve">, который отражает </w:t>
      </w:r>
      <w:r w:rsidR="003C5405" w:rsidRPr="0044196C">
        <w:rPr>
          <w:rFonts w:cs="Times New Roman"/>
          <w:color w:val="000000" w:themeColor="text1"/>
        </w:rPr>
        <w:t xml:space="preserve">активность нефрита. </w:t>
      </w:r>
      <w:r w:rsidR="00FE75A1" w:rsidRPr="0044196C">
        <w:rPr>
          <w:rFonts w:cs="Times New Roman"/>
          <w:color w:val="000000" w:themeColor="text1"/>
        </w:rPr>
        <w:t>Развитие АГ на ранних стадиях ХГН нередко также сочетается со снижением функции почек; при этом оба нарушения являются потенциально обратимыми в случае успешной иммуносупрессивной терапии</w:t>
      </w:r>
      <w:r w:rsidR="008871DE" w:rsidRPr="0044196C">
        <w:rPr>
          <w:rFonts w:cs="Times New Roman"/>
          <w:color w:val="000000" w:themeColor="text1"/>
        </w:rPr>
        <w:t xml:space="preserve">. </w:t>
      </w:r>
      <w:r w:rsidR="00FE75A1" w:rsidRPr="0044196C">
        <w:rPr>
          <w:rFonts w:cs="Times New Roman"/>
          <w:color w:val="000000" w:themeColor="text1"/>
        </w:rPr>
        <w:t>Корреляции АД с уровнем протеинурии не наблюдается: у больных с массивной протеинурией и нефротическим синдромом может быть нормальное АД</w:t>
      </w:r>
      <w:r w:rsidR="008871DE" w:rsidRPr="0044196C">
        <w:rPr>
          <w:rFonts w:cs="Times New Roman"/>
          <w:color w:val="000000" w:themeColor="text1"/>
        </w:rPr>
        <w:t xml:space="preserve"> или склонность к гипотонии</w:t>
      </w:r>
      <w:r w:rsidR="00FE75A1" w:rsidRPr="0044196C">
        <w:rPr>
          <w:rFonts w:cs="Times New Roman"/>
          <w:color w:val="000000" w:themeColor="text1"/>
        </w:rPr>
        <w:t>. Однако сочетани</w:t>
      </w:r>
      <w:r w:rsidR="008871DE" w:rsidRPr="0044196C">
        <w:rPr>
          <w:rFonts w:cs="Times New Roman"/>
          <w:color w:val="000000" w:themeColor="text1"/>
        </w:rPr>
        <w:t>енефротического синдрома с АГ имеет более неблагоприятное прогностическое значение по сравнению с изолированным нефротическим синдромом</w:t>
      </w:r>
      <w:r w:rsidR="00CC2B3A" w:rsidRPr="0044196C">
        <w:rPr>
          <w:rFonts w:cs="Times New Roman"/>
          <w:color w:val="000000" w:themeColor="text1"/>
        </w:rPr>
        <w:t xml:space="preserve"> []</w:t>
      </w:r>
      <w:r w:rsidR="008871DE" w:rsidRPr="0044196C">
        <w:rPr>
          <w:rFonts w:cs="Times New Roman"/>
          <w:color w:val="000000" w:themeColor="text1"/>
        </w:rPr>
        <w:t xml:space="preserve">. Частота АГ при разных морфологических вариантах </w:t>
      </w:r>
      <w:r w:rsidR="002912F0" w:rsidRPr="0044196C">
        <w:rPr>
          <w:rFonts w:cs="Times New Roman"/>
          <w:color w:val="000000" w:themeColor="text1"/>
        </w:rPr>
        <w:t xml:space="preserve">ХГН варьирует в широких пределах. Она наиболее высока при экстракапиллярном (нефрите с </w:t>
      </w:r>
      <w:r w:rsidR="002912F0" w:rsidRPr="0044196C">
        <w:rPr>
          <w:rFonts w:cs="Times New Roman"/>
          <w:color w:val="000000" w:themeColor="text1"/>
        </w:rPr>
        <w:lastRenderedPageBreak/>
        <w:t>полулуниями) и мембранопролиферативном вариантах ХГН (более 85%), несколько реже при фокально-сегментарном гломерулосклерозе, мезангиопролиферативном</w:t>
      </w:r>
      <w:r w:rsidR="00B971C6" w:rsidRPr="0044196C">
        <w:rPr>
          <w:rFonts w:cs="Times New Roman"/>
          <w:color w:val="000000" w:themeColor="text1"/>
        </w:rPr>
        <w:t xml:space="preserve"> </w:t>
      </w:r>
      <w:r w:rsidR="002912F0" w:rsidRPr="0044196C">
        <w:rPr>
          <w:rFonts w:cs="Times New Roman"/>
          <w:color w:val="000000" w:themeColor="text1"/>
        </w:rPr>
        <w:t xml:space="preserve">гломерулонефрите и мембранозной нефропатии (60-80%). Реже всего </w:t>
      </w:r>
      <w:r w:rsidR="00F96086" w:rsidRPr="0044196C">
        <w:rPr>
          <w:rFonts w:cs="Times New Roman"/>
          <w:color w:val="000000" w:themeColor="text1"/>
        </w:rPr>
        <w:t xml:space="preserve">при ХГН </w:t>
      </w:r>
      <w:r w:rsidR="002912F0" w:rsidRPr="0044196C">
        <w:rPr>
          <w:rFonts w:cs="Times New Roman"/>
          <w:color w:val="000000" w:themeColor="text1"/>
        </w:rPr>
        <w:t>АГ встречается при болезни минимальных изменений (40-60%)</w:t>
      </w:r>
      <w:r w:rsidR="00DA407C" w:rsidRPr="0044196C">
        <w:rPr>
          <w:rFonts w:cs="Times New Roman"/>
          <w:color w:val="000000" w:themeColor="text1"/>
        </w:rPr>
        <w:t xml:space="preserve"> и характерна для поздней стадии заболевания</w:t>
      </w:r>
      <w:r w:rsidR="00B971C6" w:rsidRPr="0044196C">
        <w:rPr>
          <w:rFonts w:cs="Times New Roman"/>
          <w:color w:val="000000" w:themeColor="text1"/>
        </w:rPr>
        <w:t xml:space="preserve"> </w:t>
      </w:r>
      <w:r w:rsidR="002912F0" w:rsidRPr="0044196C">
        <w:rPr>
          <w:rFonts w:cs="Times New Roman"/>
          <w:color w:val="000000" w:themeColor="text1"/>
        </w:rPr>
        <w:t>[].</w:t>
      </w:r>
    </w:p>
    <w:p w:rsidR="003C5405" w:rsidRPr="0044196C" w:rsidRDefault="00F96086" w:rsidP="00D122F4">
      <w:pPr>
        <w:tabs>
          <w:tab w:val="left" w:pos="3573"/>
        </w:tabs>
        <w:rPr>
          <w:rFonts w:cs="Times New Roman"/>
          <w:color w:val="000000" w:themeColor="text1"/>
        </w:rPr>
      </w:pPr>
      <w:r w:rsidRPr="0044196C">
        <w:rPr>
          <w:rFonts w:cs="Times New Roman"/>
          <w:color w:val="000000" w:themeColor="text1"/>
        </w:rPr>
        <w:t>Самая низкая частота АГ (20-35%) наблюдается при хроническом тубулоинтерстициальном нефрите и амилоидозе почек (при амилоидозе возможна тяжелая гипотония, связанная с отложением амилоида в надпочечниках и симпатических ганглиях). Развитие АГ при этих заболеваниях характерно для поздних стадий, когда имеется выраженное снижение функции почек.</w:t>
      </w:r>
    </w:p>
    <w:p w:rsidR="007070F1" w:rsidRPr="0044196C" w:rsidRDefault="00E3224D" w:rsidP="00F928A6">
      <w:pPr>
        <w:pStyle w:val="a0"/>
        <w:rPr>
          <w:color w:val="000000" w:themeColor="text1"/>
        </w:rPr>
      </w:pPr>
      <w:bookmarkStart w:id="21" w:name="_Toc279732195"/>
      <w:r w:rsidRPr="0044196C">
        <w:rPr>
          <w:color w:val="000000" w:themeColor="text1"/>
        </w:rPr>
        <w:t xml:space="preserve">АГ при ХБП </w:t>
      </w:r>
      <w:r w:rsidR="00AD20D4" w:rsidRPr="0044196C">
        <w:rPr>
          <w:color w:val="000000" w:themeColor="text1"/>
        </w:rPr>
        <w:t xml:space="preserve">следует рассматривать как прогностически </w:t>
      </w:r>
      <w:r w:rsidRPr="0044196C">
        <w:rPr>
          <w:color w:val="000000" w:themeColor="text1"/>
        </w:rPr>
        <w:t>неблагоприятн</w:t>
      </w:r>
      <w:r w:rsidR="00AD20D4" w:rsidRPr="0044196C">
        <w:rPr>
          <w:color w:val="000000" w:themeColor="text1"/>
        </w:rPr>
        <w:t>ыйфактор</w:t>
      </w:r>
      <w:r w:rsidRPr="0044196C">
        <w:rPr>
          <w:color w:val="000000" w:themeColor="text1"/>
        </w:rPr>
        <w:t>, повыша</w:t>
      </w:r>
      <w:r w:rsidR="00AD20D4" w:rsidRPr="0044196C">
        <w:rPr>
          <w:color w:val="000000" w:themeColor="text1"/>
        </w:rPr>
        <w:t>ющий</w:t>
      </w:r>
      <w:r w:rsidRPr="0044196C">
        <w:rPr>
          <w:color w:val="000000" w:themeColor="text1"/>
        </w:rPr>
        <w:t xml:space="preserve"> риск развития ТПН и сердечно-сосудистых осложнений</w:t>
      </w:r>
      <w:r w:rsidR="00AD20D4" w:rsidRPr="0044196C">
        <w:rPr>
          <w:color w:val="000000" w:themeColor="text1"/>
        </w:rPr>
        <w:t xml:space="preserve"> (1</w:t>
      </w:r>
      <w:r w:rsidR="00AD20D4" w:rsidRPr="0044196C">
        <w:rPr>
          <w:color w:val="000000" w:themeColor="text1"/>
          <w:lang w:val="en-US"/>
        </w:rPr>
        <w:t>A</w:t>
      </w:r>
      <w:r w:rsidR="00AD20D4" w:rsidRPr="0044196C">
        <w:rPr>
          <w:color w:val="000000" w:themeColor="text1"/>
        </w:rPr>
        <w:t>)</w:t>
      </w:r>
      <w:r w:rsidRPr="0044196C">
        <w:rPr>
          <w:color w:val="000000" w:themeColor="text1"/>
        </w:rPr>
        <w:t>.</w:t>
      </w:r>
      <w:bookmarkEnd w:id="21"/>
    </w:p>
    <w:p w:rsidR="007218BB" w:rsidRPr="0044196C" w:rsidRDefault="007218BB" w:rsidP="002C18C2">
      <w:pPr>
        <w:rPr>
          <w:color w:val="000000" w:themeColor="text1"/>
        </w:rPr>
      </w:pPr>
      <w:r w:rsidRPr="0044196C">
        <w:rPr>
          <w:color w:val="000000" w:themeColor="text1"/>
        </w:rPr>
        <w:t xml:space="preserve">Методика стратификации комбинированного риска развития ТПН и ССО, предложенная экспертами </w:t>
      </w:r>
      <w:r w:rsidRPr="0044196C">
        <w:rPr>
          <w:color w:val="000000" w:themeColor="text1"/>
          <w:lang w:val="en-US"/>
        </w:rPr>
        <w:t>KDIGO</w:t>
      </w:r>
      <w:r w:rsidRPr="0044196C">
        <w:rPr>
          <w:color w:val="000000" w:themeColor="text1"/>
        </w:rPr>
        <w:t xml:space="preserve">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"10.1038/ki.2013.243", "ISSN" : "1523-1755", "PMID" : "23989362", "author" : [ { "dropping-particle" : "", "family" : "Kidney Disease Improving Global Outcomes (KDIGO) CKD Work Group", "given" : "", "non-dropping-particle" : "", "parse-names" : false, "suffix" : "" } ], "container-title" : "Kidney international", "id" : "ITEM-1", "issue" : "3 (1)", "issued" : { "date-parts" : [ [ "2013", "9" ] ] }, "page" : "1-150", "title" : "KDIGO 2012 clinical practice guideline for the evaluation and management of chronic kidney disease", "type" : "article-journal", "volume" : "Suppl" }, "uris" : [ "http://www.mendeley.com/documents/?uuid=5c67faf2-1f34-4d7c-8218-93057643becc" ] } ], "mendeley" : { "previouslyFormattedCitation" : "[Kidney Disease Improving Global Outcomes (KDIGO) CKD Work Group, 2013]"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[Kidney Disease Improving Global Outcomes (KDIGO) CKD Work Group, 2013]</w:t>
      </w:r>
      <w:r w:rsidR="009D7C63" w:rsidRPr="0044196C">
        <w:rPr>
          <w:color w:val="000000" w:themeColor="text1"/>
        </w:rPr>
        <w:fldChar w:fldCharType="end"/>
      </w:r>
      <w:r w:rsidRPr="0044196C">
        <w:rPr>
          <w:color w:val="000000" w:themeColor="text1"/>
        </w:rPr>
        <w:t>, строится на определении категорий снижения функции почек и альбуминурии и не предусматривает оценку уровня АД. Однако это не означает отрицание роли АГ как важного фактора прогрессирования ХБП и высокого сердечно-сосудистого риска</w:t>
      </w:r>
      <w:r w:rsidR="00D96702" w:rsidRPr="0044196C">
        <w:rPr>
          <w:color w:val="000000" w:themeColor="text1"/>
        </w:rPr>
        <w:t xml:space="preserve">, напротив в условиях олигонефронии (дефицита функционально активной почечной ткани), приводящей к нарушению работы почек по выведению натрия, воспалительных цитокинов и других факторов, повреждающих эндотелий, даже высокое нормальное АД может оказывать неблагоприятное воздействие на почки и сердечно-сосудистую систему. </w:t>
      </w:r>
    </w:p>
    <w:p w:rsidR="007070F1" w:rsidRPr="0044196C" w:rsidRDefault="007255C5" w:rsidP="002C18C2">
      <w:pPr>
        <w:rPr>
          <w:color w:val="000000" w:themeColor="text1"/>
        </w:rPr>
      </w:pPr>
      <w:r w:rsidRPr="0044196C">
        <w:rPr>
          <w:color w:val="000000" w:themeColor="text1"/>
        </w:rPr>
        <w:t xml:space="preserve">У людей без ХБП система саморегуляции почечного кровотока препятствует передаче системной АГ на почечные клубочки за счет адекватного сужения прегломерулярных почечных сосудов мышечного типа. </w:t>
      </w:r>
      <w:r w:rsidR="00B8509E" w:rsidRPr="0044196C">
        <w:rPr>
          <w:color w:val="000000" w:themeColor="text1"/>
        </w:rPr>
        <w:t>При эссенциальной гипертонии в</w:t>
      </w:r>
      <w:r w:rsidRPr="0044196C">
        <w:rPr>
          <w:color w:val="000000" w:themeColor="text1"/>
        </w:rPr>
        <w:t xml:space="preserve"> результате </w:t>
      </w:r>
      <w:r w:rsidR="00B8509E" w:rsidRPr="0044196C">
        <w:rPr>
          <w:color w:val="000000" w:themeColor="text1"/>
        </w:rPr>
        <w:t>работы этих механизмов почки поражаются значительно позже других органов-мишеней. При вторичной почечной АГ отмечается гиперактивация ренин-ангиотензиновой</w:t>
      </w:r>
      <w:r w:rsidR="004E7BC5" w:rsidRPr="0044196C">
        <w:rPr>
          <w:color w:val="000000" w:themeColor="text1"/>
        </w:rPr>
        <w:t xml:space="preserve"> (РАС)</w:t>
      </w:r>
      <w:r w:rsidR="00B8509E" w:rsidRPr="0044196C">
        <w:rPr>
          <w:color w:val="000000" w:themeColor="text1"/>
        </w:rPr>
        <w:t>, симпато-адреналовой систем, гиперпродукцией эндотелиального релаксирующего фактора (</w:t>
      </w:r>
      <w:r w:rsidR="00B8509E" w:rsidRPr="0044196C">
        <w:rPr>
          <w:color w:val="000000" w:themeColor="text1"/>
          <w:lang w:val="en-US"/>
        </w:rPr>
        <w:t>NO</w:t>
      </w:r>
      <w:r w:rsidR="00B8509E" w:rsidRPr="0044196C">
        <w:rPr>
          <w:color w:val="000000" w:themeColor="text1"/>
        </w:rPr>
        <w:t xml:space="preserve">), что приводит к дисрегуляции почечного кровотока, проявляющейся дилатацией прегломерулярных сосудов мышечного типа и сужением выносящих артериол. </w:t>
      </w:r>
      <w:r w:rsidR="00480F77" w:rsidRPr="0044196C">
        <w:rPr>
          <w:color w:val="000000" w:themeColor="text1"/>
        </w:rPr>
        <w:t>В результате развивается гиперперфузия почечных клубочков и клубочковая гипертензия. Даже незначительное повышение системного АД усугубляет клубочковую гипертензию, приводя к повреждению почечного эндотелия, гломеруломегалии, сопровождающейсяперерастяжениеммезангия и повреждением подоцитов</w:t>
      </w:r>
      <w:r w:rsidR="00EB6508" w:rsidRPr="0044196C">
        <w:rPr>
          <w:color w:val="000000" w:themeColor="text1"/>
        </w:rPr>
        <w:t xml:space="preserve"> с формированием гломерулосклероза. На ранних стадиях ХБП нарушения почечного кровотока носят функциональный и потенциально обратимый характер. Прогрессирование нефросклероза и длительное повреждающее воздействие системной АГ на почечные сосуды мышечного типа ведет к развитию артериолосклероза, в результате чего происходит необратимая утрата их способности регулировать перфузию клубочков и защищать их от гемодинамического повреждения при повышенном системном АД. </w:t>
      </w:r>
    </w:p>
    <w:p w:rsidR="00015838" w:rsidRPr="0044196C" w:rsidRDefault="000E7C75" w:rsidP="00015838">
      <w:pPr>
        <w:rPr>
          <w:color w:val="000000" w:themeColor="text1"/>
        </w:rPr>
      </w:pPr>
      <w:r w:rsidRPr="0044196C">
        <w:rPr>
          <w:color w:val="000000" w:themeColor="text1"/>
        </w:rPr>
        <w:t>Данные о неблагоприятном влиянии высокого АД на почки получены в крупных популяционных исследованиях</w:t>
      </w:r>
      <w:r w:rsidR="00D576C2" w:rsidRPr="0044196C">
        <w:rPr>
          <w:color w:val="000000" w:themeColor="text1"/>
        </w:rPr>
        <w:t>, о</w:t>
      </w:r>
      <w:r w:rsidR="007D5B91" w:rsidRPr="0044196C">
        <w:rPr>
          <w:color w:val="000000" w:themeColor="text1"/>
        </w:rPr>
        <w:t xml:space="preserve">днако они касаются, в первую очередь, пациентов с эссенциальной гипертонией. Влияние вторичной почечной АГ на прогрессирование ХБП оценить труднее, поскольку она </w:t>
      </w:r>
      <w:r w:rsidR="00F83C47" w:rsidRPr="0044196C">
        <w:rPr>
          <w:color w:val="000000" w:themeColor="text1"/>
        </w:rPr>
        <w:t xml:space="preserve">взаимодействует с целом рядом прогностических </w:t>
      </w:r>
      <w:r w:rsidR="00F83C47" w:rsidRPr="0044196C">
        <w:rPr>
          <w:color w:val="000000" w:themeColor="text1"/>
        </w:rPr>
        <w:lastRenderedPageBreak/>
        <w:t>факторов. П</w:t>
      </w:r>
      <w:r w:rsidR="00D96702" w:rsidRPr="0044196C">
        <w:rPr>
          <w:color w:val="000000" w:themeColor="text1"/>
        </w:rPr>
        <w:t>о данным проведенных клинических исследований больных</w:t>
      </w:r>
      <w:r w:rsidR="00F83C47" w:rsidRPr="0044196C">
        <w:rPr>
          <w:color w:val="000000" w:themeColor="text1"/>
        </w:rPr>
        <w:t xml:space="preserve"> ХГН [], сахарн</w:t>
      </w:r>
      <w:r w:rsidR="00D96702" w:rsidRPr="0044196C">
        <w:rPr>
          <w:color w:val="000000" w:themeColor="text1"/>
        </w:rPr>
        <w:t>ы</w:t>
      </w:r>
      <w:r w:rsidR="00F83C47" w:rsidRPr="0044196C">
        <w:rPr>
          <w:color w:val="000000" w:themeColor="text1"/>
        </w:rPr>
        <w:t>м диабет</w:t>
      </w:r>
      <w:r w:rsidR="00D96702" w:rsidRPr="0044196C">
        <w:rPr>
          <w:color w:val="000000" w:themeColor="text1"/>
        </w:rPr>
        <w:t>ом</w:t>
      </w:r>
      <w:r w:rsidR="00CC2B3A" w:rsidRPr="0044196C">
        <w:rPr>
          <w:color w:val="000000" w:themeColor="text1"/>
        </w:rPr>
        <w:t xml:space="preserve"> </w:t>
      </w:r>
      <w:r w:rsidR="00F83C47" w:rsidRPr="0044196C">
        <w:rPr>
          <w:color w:val="000000" w:themeColor="text1"/>
        </w:rPr>
        <w:t>[]</w:t>
      </w:r>
      <w:r w:rsidR="00D96702" w:rsidRPr="0044196C">
        <w:rPr>
          <w:color w:val="000000" w:themeColor="text1"/>
        </w:rPr>
        <w:t>, поликистозной болезнью почек,</w:t>
      </w:r>
      <w:r w:rsidR="00F83C47" w:rsidRPr="0044196C">
        <w:rPr>
          <w:color w:val="000000" w:themeColor="text1"/>
        </w:rPr>
        <w:t xml:space="preserve"> было показано, что уровень АД независимым образом влияет на </w:t>
      </w:r>
      <w:r w:rsidR="00D96702" w:rsidRPr="0044196C">
        <w:rPr>
          <w:color w:val="000000" w:themeColor="text1"/>
        </w:rPr>
        <w:t>риск дальнейшего ухудшения функции почек</w:t>
      </w:r>
      <w:r w:rsidR="00F83C47" w:rsidRPr="0044196C">
        <w:rPr>
          <w:color w:val="000000" w:themeColor="text1"/>
        </w:rPr>
        <w:t xml:space="preserve">. </w:t>
      </w:r>
    </w:p>
    <w:p w:rsidR="00E3224D" w:rsidRPr="0044196C" w:rsidRDefault="00612DD0" w:rsidP="00015838">
      <w:pPr>
        <w:rPr>
          <w:color w:val="000000" w:themeColor="text1"/>
        </w:rPr>
      </w:pPr>
      <w:r w:rsidRPr="0044196C">
        <w:rPr>
          <w:color w:val="000000" w:themeColor="text1"/>
        </w:rPr>
        <w:t>Исследования о влиянии нефрогенной АГ на риск ССО также показывают ее неблагоприятное прогностическое значение.</w:t>
      </w:r>
      <w:r w:rsidR="00C811EC" w:rsidRPr="0044196C">
        <w:rPr>
          <w:color w:val="000000" w:themeColor="text1"/>
        </w:rPr>
        <w:t xml:space="preserve"> При поликистозной болезни почек показана связь АГ с развитием гипертрофии миокарда левого желудочка сердца. </w:t>
      </w:r>
      <w:r w:rsidR="00F83C47" w:rsidRPr="0044196C">
        <w:rPr>
          <w:color w:val="000000" w:themeColor="text1"/>
        </w:rPr>
        <w:t>Коррекция АГ по данным проспективных контролируемых исследований приводит к улучшению прогноза []</w:t>
      </w:r>
      <w:r w:rsidRPr="0044196C">
        <w:rPr>
          <w:color w:val="000000" w:themeColor="text1"/>
        </w:rPr>
        <w:t>.</w:t>
      </w:r>
    </w:p>
    <w:p w:rsidR="00E8632C" w:rsidRPr="0044196C" w:rsidRDefault="00E8632C" w:rsidP="00622DC7">
      <w:pPr>
        <w:pStyle w:val="10"/>
        <w:numPr>
          <w:ilvl w:val="0"/>
          <w:numId w:val="3"/>
        </w:numPr>
        <w:rPr>
          <w:color w:val="000000" w:themeColor="text1"/>
        </w:rPr>
      </w:pPr>
      <w:bookmarkStart w:id="22" w:name="_Toc279732196"/>
      <w:bookmarkStart w:id="23" w:name="_Toc279831041"/>
      <w:r w:rsidRPr="0044196C">
        <w:rPr>
          <w:color w:val="000000" w:themeColor="text1"/>
        </w:rPr>
        <w:t>Тактика обследования пациентов с почечной АГ</w:t>
      </w:r>
      <w:bookmarkEnd w:id="22"/>
      <w:bookmarkEnd w:id="23"/>
    </w:p>
    <w:p w:rsidR="001E5551" w:rsidRPr="0044196C" w:rsidRDefault="007F7F47" w:rsidP="00597ED1">
      <w:pPr>
        <w:pStyle w:val="a0"/>
        <w:rPr>
          <w:color w:val="000000" w:themeColor="text1"/>
        </w:rPr>
      </w:pPr>
      <w:bookmarkStart w:id="24" w:name="_Toc279732197"/>
      <w:bookmarkStart w:id="25" w:name="_Ref280263540"/>
      <w:r w:rsidRPr="0044196C">
        <w:rPr>
          <w:color w:val="000000" w:themeColor="text1"/>
        </w:rPr>
        <w:t xml:space="preserve">Основу диагностики вторичной почечной АГ составляет измерение АД </w:t>
      </w:r>
      <w:r w:rsidR="00612DD0" w:rsidRPr="0044196C">
        <w:rPr>
          <w:color w:val="000000" w:themeColor="text1"/>
        </w:rPr>
        <w:t xml:space="preserve">методу Н.С. Короткова </w:t>
      </w:r>
      <w:r w:rsidR="007C1F1E" w:rsidRPr="0044196C">
        <w:rPr>
          <w:color w:val="000000" w:themeColor="text1"/>
        </w:rPr>
        <w:t xml:space="preserve">в условиях относительного покоя </w:t>
      </w:r>
      <w:r w:rsidRPr="0044196C">
        <w:rPr>
          <w:color w:val="000000" w:themeColor="text1"/>
        </w:rPr>
        <w:t xml:space="preserve">врачом </w:t>
      </w:r>
      <w:r w:rsidR="007C1F1E" w:rsidRPr="0044196C">
        <w:rPr>
          <w:color w:val="000000" w:themeColor="text1"/>
        </w:rPr>
        <w:t>или другим медицинским работником.</w:t>
      </w:r>
      <w:bookmarkEnd w:id="24"/>
      <w:bookmarkEnd w:id="25"/>
    </w:p>
    <w:p w:rsidR="00612DD0" w:rsidRPr="0044196C" w:rsidRDefault="00612DD0" w:rsidP="00597ED1">
      <w:pPr>
        <w:rPr>
          <w:color w:val="000000" w:themeColor="text1"/>
        </w:rPr>
      </w:pPr>
      <w:r w:rsidRPr="0044196C">
        <w:rPr>
          <w:color w:val="000000" w:themeColor="text1"/>
        </w:rPr>
        <w:t>Повторные измерения АД врачом на сегодняшний день остаются наиболее достоверным методом диагностики АГ</w:t>
      </w:r>
      <w:r w:rsidR="00342A0F" w:rsidRPr="0044196C">
        <w:rPr>
          <w:color w:val="000000" w:themeColor="text1"/>
        </w:rPr>
        <w:t xml:space="preserve">, по которому имеется наибольшая доказательная база. </w:t>
      </w:r>
      <w:r w:rsidR="00C1038E" w:rsidRPr="0044196C">
        <w:rPr>
          <w:color w:val="000000" w:themeColor="text1"/>
        </w:rPr>
        <w:t>Измерение АД при ХБП проводится в условиях относительного покоя (</w:t>
      </w:r>
      <w:r w:rsidR="00342A0F" w:rsidRPr="0044196C">
        <w:rPr>
          <w:color w:val="000000" w:themeColor="text1"/>
        </w:rPr>
        <w:t xml:space="preserve">в положении сидя, </w:t>
      </w:r>
      <w:r w:rsidR="00C1038E" w:rsidRPr="0044196C">
        <w:rPr>
          <w:color w:val="000000" w:themeColor="text1"/>
        </w:rPr>
        <w:t>после 5-минутного отдыха), в соответствии с методикой, описанной в Национальных рекомендациях по диагностике и лечению АГ [].</w:t>
      </w:r>
      <w:r w:rsidR="00B971C6" w:rsidRPr="0044196C">
        <w:rPr>
          <w:color w:val="000000" w:themeColor="text1"/>
        </w:rPr>
        <w:t xml:space="preserve"> </w:t>
      </w:r>
      <w:r w:rsidR="00342A0F" w:rsidRPr="0044196C">
        <w:rPr>
          <w:color w:val="000000" w:themeColor="text1"/>
        </w:rPr>
        <w:t>Для</w:t>
      </w:r>
      <w:r w:rsidR="00B971C6" w:rsidRPr="0044196C">
        <w:rPr>
          <w:color w:val="000000" w:themeColor="text1"/>
        </w:rPr>
        <w:t xml:space="preserve"> </w:t>
      </w:r>
      <w:r w:rsidR="00342A0F" w:rsidRPr="0044196C">
        <w:rPr>
          <w:color w:val="000000" w:themeColor="text1"/>
        </w:rPr>
        <w:t>оценки</w:t>
      </w:r>
      <w:r w:rsidR="00B971C6" w:rsidRPr="0044196C">
        <w:rPr>
          <w:color w:val="000000" w:themeColor="text1"/>
        </w:rPr>
        <w:t xml:space="preserve"> </w:t>
      </w:r>
      <w:r w:rsidR="00342A0F" w:rsidRPr="0044196C">
        <w:rPr>
          <w:color w:val="000000" w:themeColor="text1"/>
        </w:rPr>
        <w:t>уровня АД</w:t>
      </w:r>
      <w:r w:rsidR="00B971C6" w:rsidRPr="0044196C">
        <w:rPr>
          <w:color w:val="000000" w:themeColor="text1"/>
        </w:rPr>
        <w:t xml:space="preserve"> </w:t>
      </w:r>
      <w:r w:rsidR="00342A0F" w:rsidRPr="0044196C">
        <w:rPr>
          <w:color w:val="000000" w:themeColor="text1"/>
        </w:rPr>
        <w:t>на</w:t>
      </w:r>
      <w:r w:rsidR="00B971C6" w:rsidRPr="0044196C">
        <w:rPr>
          <w:color w:val="000000" w:themeColor="text1"/>
        </w:rPr>
        <w:t xml:space="preserve"> </w:t>
      </w:r>
      <w:r w:rsidR="00342A0F" w:rsidRPr="0044196C">
        <w:rPr>
          <w:color w:val="000000" w:themeColor="text1"/>
        </w:rPr>
        <w:t>каждой руке</w:t>
      </w:r>
      <w:r w:rsidR="00B971C6" w:rsidRPr="0044196C">
        <w:rPr>
          <w:color w:val="000000" w:themeColor="text1"/>
        </w:rPr>
        <w:t xml:space="preserve"> </w:t>
      </w:r>
      <w:r w:rsidR="00342A0F" w:rsidRPr="0044196C">
        <w:rPr>
          <w:color w:val="000000" w:themeColor="text1"/>
        </w:rPr>
        <w:t>следует</w:t>
      </w:r>
      <w:r w:rsidR="00B971C6" w:rsidRPr="0044196C">
        <w:rPr>
          <w:color w:val="000000" w:themeColor="text1"/>
        </w:rPr>
        <w:t xml:space="preserve"> </w:t>
      </w:r>
      <w:r w:rsidR="00342A0F" w:rsidRPr="0044196C">
        <w:rPr>
          <w:color w:val="000000" w:themeColor="text1"/>
        </w:rPr>
        <w:t>выполнить</w:t>
      </w:r>
      <w:r w:rsidR="00B971C6" w:rsidRPr="0044196C">
        <w:rPr>
          <w:color w:val="000000" w:themeColor="text1"/>
        </w:rPr>
        <w:t xml:space="preserve"> </w:t>
      </w:r>
      <w:r w:rsidR="00342A0F" w:rsidRPr="0044196C">
        <w:rPr>
          <w:color w:val="000000" w:themeColor="text1"/>
        </w:rPr>
        <w:t>не</w:t>
      </w:r>
      <w:r w:rsidR="00B971C6" w:rsidRPr="0044196C">
        <w:rPr>
          <w:color w:val="000000" w:themeColor="text1"/>
        </w:rPr>
        <w:t xml:space="preserve"> </w:t>
      </w:r>
      <w:r w:rsidR="00342A0F" w:rsidRPr="0044196C">
        <w:rPr>
          <w:color w:val="000000" w:themeColor="text1"/>
        </w:rPr>
        <w:t>менее</w:t>
      </w:r>
      <w:r w:rsidR="00B971C6" w:rsidRPr="0044196C">
        <w:rPr>
          <w:color w:val="000000" w:themeColor="text1"/>
        </w:rPr>
        <w:t xml:space="preserve"> </w:t>
      </w:r>
      <w:r w:rsidR="00342A0F" w:rsidRPr="0044196C">
        <w:rPr>
          <w:color w:val="000000" w:themeColor="text1"/>
        </w:rPr>
        <w:t>двух</w:t>
      </w:r>
      <w:r w:rsidR="00B971C6" w:rsidRPr="0044196C">
        <w:rPr>
          <w:color w:val="000000" w:themeColor="text1"/>
        </w:rPr>
        <w:t xml:space="preserve"> </w:t>
      </w:r>
      <w:r w:rsidR="00342A0F" w:rsidRPr="0044196C">
        <w:rPr>
          <w:color w:val="000000" w:themeColor="text1"/>
        </w:rPr>
        <w:t>измерений с интервалом</w:t>
      </w:r>
      <w:r w:rsidR="00B971C6" w:rsidRPr="0044196C">
        <w:rPr>
          <w:color w:val="000000" w:themeColor="text1"/>
        </w:rPr>
        <w:t xml:space="preserve"> </w:t>
      </w:r>
      <w:r w:rsidR="00342A0F" w:rsidRPr="0044196C">
        <w:rPr>
          <w:color w:val="000000" w:themeColor="text1"/>
        </w:rPr>
        <w:t>не</w:t>
      </w:r>
      <w:r w:rsidR="00B971C6" w:rsidRPr="0044196C">
        <w:rPr>
          <w:color w:val="000000" w:themeColor="text1"/>
        </w:rPr>
        <w:t xml:space="preserve"> </w:t>
      </w:r>
      <w:r w:rsidR="00342A0F" w:rsidRPr="0044196C">
        <w:rPr>
          <w:color w:val="000000" w:themeColor="text1"/>
        </w:rPr>
        <w:t>менее 1 мин; приразнице АД≥5 ммрт.ст. производят</w:t>
      </w:r>
      <w:r w:rsidR="00B971C6" w:rsidRPr="0044196C">
        <w:rPr>
          <w:color w:val="000000" w:themeColor="text1"/>
        </w:rPr>
        <w:t xml:space="preserve"> </w:t>
      </w:r>
      <w:r w:rsidR="00342A0F" w:rsidRPr="0044196C">
        <w:rPr>
          <w:color w:val="000000" w:themeColor="text1"/>
        </w:rPr>
        <w:t>одно</w:t>
      </w:r>
      <w:r w:rsidR="00B971C6" w:rsidRPr="0044196C">
        <w:rPr>
          <w:color w:val="000000" w:themeColor="text1"/>
        </w:rPr>
        <w:t xml:space="preserve"> </w:t>
      </w:r>
      <w:r w:rsidR="00342A0F" w:rsidRPr="0044196C">
        <w:rPr>
          <w:color w:val="000000" w:themeColor="text1"/>
        </w:rPr>
        <w:t>дополнительное</w:t>
      </w:r>
      <w:r w:rsidR="00B971C6" w:rsidRPr="0044196C">
        <w:rPr>
          <w:color w:val="000000" w:themeColor="text1"/>
        </w:rPr>
        <w:t xml:space="preserve"> </w:t>
      </w:r>
      <w:r w:rsidR="00342A0F" w:rsidRPr="0044196C">
        <w:rPr>
          <w:color w:val="000000" w:themeColor="text1"/>
        </w:rPr>
        <w:t>измерение; законечное (регистрируемое) значение</w:t>
      </w:r>
      <w:r w:rsidR="00B971C6" w:rsidRPr="0044196C">
        <w:rPr>
          <w:color w:val="000000" w:themeColor="text1"/>
        </w:rPr>
        <w:t xml:space="preserve"> </w:t>
      </w:r>
      <w:r w:rsidR="00342A0F" w:rsidRPr="0044196C">
        <w:rPr>
          <w:color w:val="000000" w:themeColor="text1"/>
        </w:rPr>
        <w:t>принимается</w:t>
      </w:r>
      <w:r w:rsidR="00B971C6" w:rsidRPr="0044196C">
        <w:rPr>
          <w:color w:val="000000" w:themeColor="text1"/>
        </w:rPr>
        <w:t xml:space="preserve"> </w:t>
      </w:r>
      <w:r w:rsidR="00342A0F" w:rsidRPr="0044196C">
        <w:rPr>
          <w:color w:val="000000" w:themeColor="text1"/>
        </w:rPr>
        <w:t>минимальное</w:t>
      </w:r>
      <w:r w:rsidR="00B971C6" w:rsidRPr="0044196C">
        <w:rPr>
          <w:color w:val="000000" w:themeColor="text1"/>
        </w:rPr>
        <w:t xml:space="preserve"> </w:t>
      </w:r>
      <w:r w:rsidR="00342A0F" w:rsidRPr="0044196C">
        <w:rPr>
          <w:color w:val="000000" w:themeColor="text1"/>
        </w:rPr>
        <w:t>из</w:t>
      </w:r>
      <w:r w:rsidR="00B971C6" w:rsidRPr="0044196C">
        <w:rPr>
          <w:color w:val="000000" w:themeColor="text1"/>
        </w:rPr>
        <w:t xml:space="preserve"> </w:t>
      </w:r>
      <w:r w:rsidR="00342A0F" w:rsidRPr="0044196C">
        <w:rPr>
          <w:color w:val="000000" w:themeColor="text1"/>
        </w:rPr>
        <w:t>трех</w:t>
      </w:r>
      <w:r w:rsidR="00B971C6" w:rsidRPr="0044196C">
        <w:rPr>
          <w:color w:val="000000" w:themeColor="text1"/>
        </w:rPr>
        <w:t xml:space="preserve"> </w:t>
      </w:r>
      <w:r w:rsidR="00342A0F" w:rsidRPr="0044196C">
        <w:rPr>
          <w:color w:val="000000" w:themeColor="text1"/>
        </w:rPr>
        <w:t>измерений.</w:t>
      </w:r>
    </w:p>
    <w:p w:rsidR="00342A0F" w:rsidRPr="0044196C" w:rsidRDefault="00342A0F" w:rsidP="00597ED1">
      <w:pPr>
        <w:rPr>
          <w:color w:val="000000" w:themeColor="text1"/>
        </w:rPr>
      </w:pPr>
      <w:r w:rsidRPr="0044196C">
        <w:rPr>
          <w:color w:val="000000" w:themeColor="text1"/>
        </w:rPr>
        <w:t>Приподозрениинапоражениепериферическихсосудов</w:t>
      </w:r>
      <w:r w:rsidR="00B971C6" w:rsidRPr="0044196C">
        <w:rPr>
          <w:color w:val="000000" w:themeColor="text1"/>
        </w:rPr>
        <w:t xml:space="preserve"> </w:t>
      </w:r>
      <w:r w:rsidR="0089165A" w:rsidRPr="0044196C">
        <w:rPr>
          <w:color w:val="000000" w:themeColor="text1"/>
        </w:rPr>
        <w:t>(в рамках</w:t>
      </w:r>
      <w:r w:rsidR="00B971C6" w:rsidRPr="0044196C">
        <w:rPr>
          <w:color w:val="000000" w:themeColor="text1"/>
        </w:rPr>
        <w:t xml:space="preserve"> </w:t>
      </w:r>
      <w:r w:rsidR="0089165A" w:rsidRPr="0044196C">
        <w:rPr>
          <w:color w:val="000000" w:themeColor="text1"/>
        </w:rPr>
        <w:t>системного</w:t>
      </w:r>
      <w:r w:rsidR="00B971C6" w:rsidRPr="0044196C">
        <w:rPr>
          <w:color w:val="000000" w:themeColor="text1"/>
        </w:rPr>
        <w:t xml:space="preserve"> </w:t>
      </w:r>
      <w:r w:rsidR="0089165A" w:rsidRPr="0044196C">
        <w:rPr>
          <w:color w:val="000000" w:themeColor="text1"/>
        </w:rPr>
        <w:t xml:space="preserve">васкуклита, атеросклероза и т.д.) </w:t>
      </w:r>
      <w:r w:rsidRPr="0044196C">
        <w:rPr>
          <w:color w:val="000000" w:themeColor="text1"/>
        </w:rPr>
        <w:t>АД и пульс</w:t>
      </w:r>
      <w:r w:rsidR="00B971C6" w:rsidRPr="0044196C">
        <w:rPr>
          <w:color w:val="000000" w:themeColor="text1"/>
        </w:rPr>
        <w:t xml:space="preserve"> </w:t>
      </w:r>
      <w:r w:rsidRPr="0044196C">
        <w:rPr>
          <w:color w:val="000000" w:themeColor="text1"/>
        </w:rPr>
        <w:t>определяются</w:t>
      </w:r>
      <w:r w:rsidR="00B971C6" w:rsidRPr="0044196C">
        <w:rPr>
          <w:color w:val="000000" w:themeColor="text1"/>
        </w:rPr>
        <w:t xml:space="preserve"> </w:t>
      </w:r>
      <w:r w:rsidRPr="0044196C">
        <w:rPr>
          <w:color w:val="000000" w:themeColor="text1"/>
        </w:rPr>
        <w:t>на</w:t>
      </w:r>
      <w:r w:rsidR="00B971C6" w:rsidRPr="0044196C">
        <w:rPr>
          <w:color w:val="000000" w:themeColor="text1"/>
        </w:rPr>
        <w:t xml:space="preserve"> </w:t>
      </w:r>
      <w:r w:rsidRPr="0044196C">
        <w:rPr>
          <w:color w:val="000000" w:themeColor="text1"/>
        </w:rPr>
        <w:t>руках и наногах.</w:t>
      </w:r>
    </w:p>
    <w:p w:rsidR="00612DD0" w:rsidRPr="0044196C" w:rsidRDefault="00342A0F" w:rsidP="00597ED1">
      <w:pPr>
        <w:rPr>
          <w:color w:val="000000" w:themeColor="text1"/>
        </w:rPr>
      </w:pPr>
      <w:r w:rsidRPr="0044196C">
        <w:rPr>
          <w:color w:val="000000" w:themeColor="text1"/>
        </w:rPr>
        <w:t xml:space="preserve">Учитывая высокий риск ортостатической гипотензии у пациентов с ХБП, измерение АД в стандартных условиях </w:t>
      </w:r>
      <w:r w:rsidR="0089165A" w:rsidRPr="0044196C">
        <w:rPr>
          <w:color w:val="000000" w:themeColor="text1"/>
        </w:rPr>
        <w:t xml:space="preserve">рекомендуется </w:t>
      </w:r>
      <w:r w:rsidRPr="0044196C">
        <w:rPr>
          <w:color w:val="000000" w:themeColor="text1"/>
        </w:rPr>
        <w:t xml:space="preserve">периодически дополнять измерением в вертикальном положении тела, сразу после вставания. Если после вставания </w:t>
      </w:r>
      <w:r w:rsidR="00A4636A" w:rsidRPr="0044196C">
        <w:rPr>
          <w:color w:val="000000" w:themeColor="text1"/>
        </w:rPr>
        <w:t>С</w:t>
      </w:r>
      <w:r w:rsidRPr="0044196C">
        <w:rPr>
          <w:color w:val="000000" w:themeColor="text1"/>
        </w:rPr>
        <w:t xml:space="preserve">АД снижается </w:t>
      </w:r>
      <w:r w:rsidR="00A4636A" w:rsidRPr="0044196C">
        <w:rPr>
          <w:color w:val="000000" w:themeColor="text1"/>
        </w:rPr>
        <w:t>на 20 и более мм рт. ст. и/или ДАД снижается на 10 и более мм рт. ст.</w:t>
      </w:r>
      <w:r w:rsidRPr="0044196C">
        <w:rPr>
          <w:color w:val="000000" w:themeColor="text1"/>
        </w:rPr>
        <w:t>, это определяется как ортостатическая (п</w:t>
      </w:r>
      <w:r w:rsidR="0089165A" w:rsidRPr="0044196C">
        <w:rPr>
          <w:color w:val="000000" w:themeColor="text1"/>
        </w:rPr>
        <w:t>остуральная) гипотензия. Особ</w:t>
      </w:r>
      <w:r w:rsidRPr="0044196C">
        <w:rPr>
          <w:color w:val="000000" w:themeColor="text1"/>
        </w:rPr>
        <w:t xml:space="preserve">о важное значение данная проба имеет в </w:t>
      </w:r>
      <w:r w:rsidR="0089165A" w:rsidRPr="0044196C">
        <w:rPr>
          <w:color w:val="000000" w:themeColor="text1"/>
        </w:rPr>
        <w:t>период</w:t>
      </w:r>
      <w:r w:rsidRPr="0044196C">
        <w:rPr>
          <w:color w:val="000000" w:themeColor="text1"/>
        </w:rPr>
        <w:t xml:space="preserve"> подбора антигипепртензивной терапии</w:t>
      </w:r>
      <w:r w:rsidR="0089165A" w:rsidRPr="0044196C">
        <w:rPr>
          <w:color w:val="000000" w:themeColor="text1"/>
        </w:rPr>
        <w:t>, при назначении альфа-адреноблокаторов и других средств, которые могут вызывать резкое снижение АД.</w:t>
      </w:r>
    </w:p>
    <w:p w:rsidR="007C1F1E" w:rsidRPr="0044196C" w:rsidRDefault="007C1F1E" w:rsidP="007C1F1E">
      <w:pPr>
        <w:pStyle w:val="a0"/>
        <w:rPr>
          <w:color w:val="000000" w:themeColor="text1"/>
        </w:rPr>
      </w:pPr>
      <w:bookmarkStart w:id="26" w:name="_Toc279732198"/>
      <w:r w:rsidRPr="0044196C">
        <w:rPr>
          <w:color w:val="000000" w:themeColor="text1"/>
        </w:rPr>
        <w:t xml:space="preserve">Измерение АД </w:t>
      </w:r>
      <w:r w:rsidR="000352FB" w:rsidRPr="0044196C">
        <w:rPr>
          <w:color w:val="000000" w:themeColor="text1"/>
        </w:rPr>
        <w:t>является обязательным</w:t>
      </w:r>
      <w:r w:rsidRPr="0044196C">
        <w:rPr>
          <w:color w:val="000000" w:themeColor="text1"/>
        </w:rPr>
        <w:t xml:space="preserve"> исследовани</w:t>
      </w:r>
      <w:r w:rsidR="000352FB" w:rsidRPr="0044196C">
        <w:rPr>
          <w:color w:val="000000" w:themeColor="text1"/>
        </w:rPr>
        <w:t>ем</w:t>
      </w:r>
      <w:r w:rsidRPr="0044196C">
        <w:rPr>
          <w:color w:val="000000" w:themeColor="text1"/>
        </w:rPr>
        <w:t xml:space="preserve"> при каждом </w:t>
      </w:r>
      <w:r w:rsidR="000352FB" w:rsidRPr="0044196C">
        <w:rPr>
          <w:color w:val="000000" w:themeColor="text1"/>
        </w:rPr>
        <w:t xml:space="preserve">нефрологическом или терапевтическом врачебном </w:t>
      </w:r>
      <w:r w:rsidRPr="0044196C">
        <w:rPr>
          <w:color w:val="000000" w:themeColor="text1"/>
        </w:rPr>
        <w:t>осмотре пациента с ХБП</w:t>
      </w:r>
      <w:r w:rsidR="00B971C6" w:rsidRPr="0044196C">
        <w:rPr>
          <w:color w:val="000000" w:themeColor="text1"/>
        </w:rPr>
        <w:t xml:space="preserve"> </w:t>
      </w:r>
      <w:r w:rsidRPr="0044196C">
        <w:rPr>
          <w:color w:val="000000" w:themeColor="text1"/>
        </w:rPr>
        <w:t>(НГ).</w:t>
      </w:r>
      <w:bookmarkEnd w:id="26"/>
    </w:p>
    <w:p w:rsidR="004716EC" w:rsidRPr="0044196C" w:rsidRDefault="0089165A" w:rsidP="00597ED1">
      <w:pPr>
        <w:rPr>
          <w:color w:val="000000" w:themeColor="text1"/>
        </w:rPr>
      </w:pPr>
      <w:r w:rsidRPr="0044196C">
        <w:rPr>
          <w:color w:val="000000" w:themeColor="text1"/>
        </w:rPr>
        <w:t xml:space="preserve">Измерение АД входит в число обязательных исследований пациента с ХБП. Разовое обнаружение повышенных цифр АД недостаточно для диагностики АД, оно должно получить подтверждение при 2-3 повторных измерениях. </w:t>
      </w:r>
    </w:p>
    <w:p w:rsidR="0089165A" w:rsidRPr="0044196C" w:rsidRDefault="0089165A" w:rsidP="00597ED1">
      <w:pPr>
        <w:rPr>
          <w:color w:val="000000" w:themeColor="text1"/>
        </w:rPr>
      </w:pPr>
      <w:r w:rsidRPr="0044196C">
        <w:rPr>
          <w:color w:val="000000" w:themeColor="text1"/>
        </w:rPr>
        <w:t xml:space="preserve">Необходимость многократных измерений </w:t>
      </w:r>
      <w:r w:rsidR="004716EC" w:rsidRPr="0044196C">
        <w:rPr>
          <w:color w:val="000000" w:themeColor="text1"/>
        </w:rPr>
        <w:t xml:space="preserve">у пациента с диагностированной АГ </w:t>
      </w:r>
      <w:r w:rsidRPr="0044196C">
        <w:rPr>
          <w:color w:val="000000" w:themeColor="text1"/>
        </w:rPr>
        <w:t xml:space="preserve">обусловлена высокой лабильностью цифр АД, которая может усиливаться на поздних стадиях ХБП вследствие гиперактивации симпато-адреналовой системы, тяжелой эндотелиальной дисфункции, </w:t>
      </w:r>
      <w:r w:rsidR="00972087" w:rsidRPr="0044196C">
        <w:rPr>
          <w:color w:val="000000" w:themeColor="text1"/>
        </w:rPr>
        <w:t xml:space="preserve">нарушения работы барорецепторов, </w:t>
      </w:r>
      <w:r w:rsidRPr="0044196C">
        <w:rPr>
          <w:color w:val="000000" w:themeColor="text1"/>
        </w:rPr>
        <w:t>ремоделирования сердечно</w:t>
      </w:r>
      <w:r w:rsidR="00972087" w:rsidRPr="0044196C">
        <w:rPr>
          <w:color w:val="000000" w:themeColor="text1"/>
        </w:rPr>
        <w:t>-сосудистой системы</w:t>
      </w:r>
      <w:r w:rsidR="004716EC" w:rsidRPr="0044196C">
        <w:rPr>
          <w:color w:val="000000" w:themeColor="text1"/>
        </w:rPr>
        <w:t xml:space="preserve">и других причин. Изменение течения ХБП, </w:t>
      </w:r>
      <w:r w:rsidR="00F8743D" w:rsidRPr="0044196C">
        <w:rPr>
          <w:color w:val="000000" w:themeColor="text1"/>
        </w:rPr>
        <w:t xml:space="preserve">необходимость </w:t>
      </w:r>
      <w:r w:rsidR="00972087" w:rsidRPr="0044196C">
        <w:rPr>
          <w:color w:val="000000" w:themeColor="text1"/>
        </w:rPr>
        <w:t xml:space="preserve">точной оценки </w:t>
      </w:r>
      <w:r w:rsidR="004716EC" w:rsidRPr="0044196C">
        <w:rPr>
          <w:color w:val="000000" w:themeColor="text1"/>
        </w:rPr>
        <w:t xml:space="preserve">ответа на патогенетическое лечение заболевания почек и антигипертензивную терапию также требуют регулярных измерений АД. Недостаточно </w:t>
      </w:r>
      <w:r w:rsidR="004716EC" w:rsidRPr="0044196C">
        <w:rPr>
          <w:color w:val="000000" w:themeColor="text1"/>
        </w:rPr>
        <w:lastRenderedPageBreak/>
        <w:t>частые измерения могут быть причиной как недостаточной эффективности антигипертензивной терапии из-за недостижения целевых показателей АД, так и ее осложнений, обусловленных развитием эпизодов гипотензии.</w:t>
      </w:r>
    </w:p>
    <w:p w:rsidR="0089165A" w:rsidRPr="0044196C" w:rsidRDefault="004716EC" w:rsidP="00597ED1">
      <w:pPr>
        <w:rPr>
          <w:color w:val="000000" w:themeColor="text1"/>
        </w:rPr>
      </w:pPr>
      <w:r w:rsidRPr="0044196C">
        <w:rPr>
          <w:color w:val="000000" w:themeColor="text1"/>
        </w:rPr>
        <w:t xml:space="preserve">Измеренные цифры АД должны указываться в протоколе врачебного осмотра. В </w:t>
      </w:r>
      <w:r w:rsidR="00C507CA" w:rsidRPr="0044196C">
        <w:rPr>
          <w:color w:val="000000" w:themeColor="text1"/>
        </w:rPr>
        <w:t xml:space="preserve">эпикризе и другой </w:t>
      </w:r>
      <w:r w:rsidRPr="0044196C">
        <w:rPr>
          <w:color w:val="000000" w:themeColor="text1"/>
        </w:rPr>
        <w:t>медицинской документации, отражающей состояние пациент</w:t>
      </w:r>
      <w:r w:rsidR="00C507CA" w:rsidRPr="0044196C">
        <w:rPr>
          <w:color w:val="000000" w:themeColor="text1"/>
        </w:rPr>
        <w:t xml:space="preserve">а за длительный период времени, следует приводить наиболее типичное, </w:t>
      </w:r>
      <w:r w:rsidR="00972087" w:rsidRPr="0044196C">
        <w:rPr>
          <w:color w:val="000000" w:themeColor="text1"/>
        </w:rPr>
        <w:t xml:space="preserve">а также </w:t>
      </w:r>
      <w:r w:rsidR="00C507CA" w:rsidRPr="0044196C">
        <w:rPr>
          <w:color w:val="000000" w:themeColor="text1"/>
        </w:rPr>
        <w:t xml:space="preserve">максимальное и минимальное </w:t>
      </w:r>
      <w:r w:rsidR="00972087" w:rsidRPr="0044196C">
        <w:rPr>
          <w:color w:val="000000" w:themeColor="text1"/>
        </w:rPr>
        <w:t>значения АД за время наблюдения. Если за период наблюдения происходили изменения выраженности повышения АД</w:t>
      </w:r>
      <w:r w:rsidR="00C507CA" w:rsidRPr="0044196C">
        <w:rPr>
          <w:color w:val="000000" w:themeColor="text1"/>
        </w:rPr>
        <w:t xml:space="preserve"> на фоне терапии</w:t>
      </w:r>
      <w:r w:rsidR="00972087" w:rsidRPr="0044196C">
        <w:rPr>
          <w:color w:val="000000" w:themeColor="text1"/>
        </w:rPr>
        <w:t xml:space="preserve"> или вследствие прогрессирования заболевания почек, эти изменения </w:t>
      </w:r>
      <w:r w:rsidR="00A4636A" w:rsidRPr="0044196C">
        <w:rPr>
          <w:color w:val="000000" w:themeColor="text1"/>
        </w:rPr>
        <w:t xml:space="preserve">также </w:t>
      </w:r>
      <w:r w:rsidR="00972087" w:rsidRPr="0044196C">
        <w:rPr>
          <w:color w:val="000000" w:themeColor="text1"/>
        </w:rPr>
        <w:t>должны отражаться в медицинской документации</w:t>
      </w:r>
      <w:r w:rsidR="00C507CA" w:rsidRPr="0044196C">
        <w:rPr>
          <w:color w:val="000000" w:themeColor="text1"/>
        </w:rPr>
        <w:t>.</w:t>
      </w:r>
    </w:p>
    <w:p w:rsidR="00597ED1" w:rsidRPr="0044196C" w:rsidRDefault="00C73A28" w:rsidP="00597ED1">
      <w:pPr>
        <w:pStyle w:val="a0"/>
        <w:rPr>
          <w:color w:val="000000" w:themeColor="text1"/>
        </w:rPr>
      </w:pPr>
      <w:bookmarkStart w:id="27" w:name="_Ref279576134"/>
      <w:bookmarkStart w:id="28" w:name="_Toc279732199"/>
      <w:r w:rsidRPr="0044196C">
        <w:rPr>
          <w:color w:val="000000" w:themeColor="text1"/>
        </w:rPr>
        <w:t>Автоматическое суточное мониторирование АД (СМАД), а также регулярный само</w:t>
      </w:r>
      <w:r w:rsidR="00A4636A" w:rsidRPr="0044196C">
        <w:rPr>
          <w:color w:val="000000" w:themeColor="text1"/>
        </w:rPr>
        <w:t xml:space="preserve">стоятельный </w:t>
      </w:r>
      <w:r w:rsidRPr="0044196C">
        <w:rPr>
          <w:color w:val="000000" w:themeColor="text1"/>
        </w:rPr>
        <w:t xml:space="preserve">контроль АД пациентом </w:t>
      </w:r>
      <w:r w:rsidR="00F80F66" w:rsidRPr="0044196C">
        <w:rPr>
          <w:color w:val="000000" w:themeColor="text1"/>
        </w:rPr>
        <w:t xml:space="preserve">(СКАД) </w:t>
      </w:r>
      <w:r w:rsidRPr="0044196C">
        <w:rPr>
          <w:color w:val="000000" w:themeColor="text1"/>
        </w:rPr>
        <w:t>существенно расширяют возможности д</w:t>
      </w:r>
      <w:r w:rsidR="00972087" w:rsidRPr="0044196C">
        <w:rPr>
          <w:color w:val="000000" w:themeColor="text1"/>
        </w:rPr>
        <w:t>иагностики АГ, помогают в оценке</w:t>
      </w:r>
      <w:r w:rsidRPr="0044196C">
        <w:rPr>
          <w:color w:val="000000" w:themeColor="text1"/>
        </w:rPr>
        <w:t xml:space="preserve"> эффективности и безопасности  антигипертензивной терапии при ХБП и должны дополнять и</w:t>
      </w:r>
      <w:r w:rsidR="00525E1C" w:rsidRPr="0044196C">
        <w:rPr>
          <w:color w:val="000000" w:themeColor="text1"/>
        </w:rPr>
        <w:t xml:space="preserve">змерения АД врачом </w:t>
      </w:r>
      <w:r w:rsidRPr="0044196C">
        <w:rPr>
          <w:color w:val="000000" w:themeColor="text1"/>
        </w:rPr>
        <w:t>в медицинском учреждении</w:t>
      </w:r>
      <w:r w:rsidR="001668E2" w:rsidRPr="0044196C">
        <w:rPr>
          <w:color w:val="000000" w:themeColor="text1"/>
        </w:rPr>
        <w:t xml:space="preserve">. </w:t>
      </w:r>
      <w:r w:rsidRPr="0044196C">
        <w:rPr>
          <w:color w:val="000000" w:themeColor="text1"/>
        </w:rPr>
        <w:t xml:space="preserve"> (НГ).</w:t>
      </w:r>
      <w:bookmarkEnd w:id="27"/>
      <w:bookmarkEnd w:id="28"/>
    </w:p>
    <w:p w:rsidR="00A70CC1" w:rsidRPr="0044196C" w:rsidRDefault="00A70CC1" w:rsidP="005706F6">
      <w:pPr>
        <w:ind w:firstLine="851"/>
        <w:rPr>
          <w:color w:val="000000" w:themeColor="text1"/>
        </w:rPr>
      </w:pPr>
      <w:r w:rsidRPr="0044196C">
        <w:rPr>
          <w:color w:val="000000" w:themeColor="text1"/>
        </w:rPr>
        <w:t xml:space="preserve">СМАД и </w:t>
      </w:r>
      <w:r w:rsidR="00F80F66" w:rsidRPr="0044196C">
        <w:rPr>
          <w:color w:val="000000" w:themeColor="text1"/>
        </w:rPr>
        <w:t>СКАД</w:t>
      </w:r>
      <w:r w:rsidR="005706F6" w:rsidRPr="0044196C">
        <w:rPr>
          <w:color w:val="000000" w:themeColor="text1"/>
        </w:rPr>
        <w:t xml:space="preserve"> дают более полноеи точное представление о состоянии системы регуляции АД и тяжести АГ, </w:t>
      </w:r>
      <w:r w:rsidRPr="0044196C">
        <w:rPr>
          <w:color w:val="000000" w:themeColor="text1"/>
        </w:rPr>
        <w:t>позволяют</w:t>
      </w:r>
      <w:r w:rsidR="005706F6" w:rsidRPr="0044196C">
        <w:rPr>
          <w:color w:val="000000" w:themeColor="text1"/>
        </w:rPr>
        <w:t xml:space="preserve"> оценивать</w:t>
      </w:r>
      <w:r w:rsidR="00184F7E" w:rsidRPr="0044196C">
        <w:rPr>
          <w:color w:val="000000" w:themeColor="text1"/>
        </w:rPr>
        <w:t xml:space="preserve"> АД</w:t>
      </w:r>
      <w:r w:rsidR="00F80F66" w:rsidRPr="0044196C">
        <w:rPr>
          <w:color w:val="000000" w:themeColor="text1"/>
        </w:rPr>
        <w:t>в ест</w:t>
      </w:r>
      <w:r w:rsidR="00184F7E" w:rsidRPr="0044196C">
        <w:rPr>
          <w:color w:val="000000" w:themeColor="text1"/>
        </w:rPr>
        <w:t>ественных для пациента условиях</w:t>
      </w:r>
      <w:r w:rsidR="00F80F66" w:rsidRPr="0044196C">
        <w:rPr>
          <w:color w:val="000000" w:themeColor="text1"/>
        </w:rPr>
        <w:t xml:space="preserve"> вне медицинского окружения, </w:t>
      </w:r>
      <w:r w:rsidR="005706F6" w:rsidRPr="0044196C">
        <w:rPr>
          <w:color w:val="000000" w:themeColor="text1"/>
        </w:rPr>
        <w:t>выяв</w:t>
      </w:r>
      <w:r w:rsidR="001668E2" w:rsidRPr="0044196C">
        <w:rPr>
          <w:color w:val="000000" w:themeColor="text1"/>
        </w:rPr>
        <w:t>лять кратковременные подъемы АД</w:t>
      </w:r>
      <w:r w:rsidR="00184F7E" w:rsidRPr="0044196C">
        <w:rPr>
          <w:color w:val="000000" w:themeColor="text1"/>
        </w:rPr>
        <w:t xml:space="preserve"> колебания АД на фоне привычных нагрузок</w:t>
      </w:r>
      <w:r w:rsidR="005706F6" w:rsidRPr="0044196C">
        <w:rPr>
          <w:color w:val="000000" w:themeColor="text1"/>
        </w:rPr>
        <w:t xml:space="preserve">, </w:t>
      </w:r>
      <w:r w:rsidR="00184F7E" w:rsidRPr="0044196C">
        <w:rPr>
          <w:color w:val="000000" w:themeColor="text1"/>
        </w:rPr>
        <w:t>эпизоды</w:t>
      </w:r>
      <w:r w:rsidR="005706F6" w:rsidRPr="0044196C">
        <w:rPr>
          <w:color w:val="000000" w:themeColor="text1"/>
        </w:rPr>
        <w:t xml:space="preserve"> гипотонии на фоне лечения, </w:t>
      </w:r>
      <w:r w:rsidR="00184F7E" w:rsidRPr="0044196C">
        <w:rPr>
          <w:color w:val="000000" w:themeColor="text1"/>
        </w:rPr>
        <w:t>приводящие</w:t>
      </w:r>
      <w:r w:rsidR="001668E2" w:rsidRPr="0044196C">
        <w:rPr>
          <w:color w:val="000000" w:themeColor="text1"/>
        </w:rPr>
        <w:t xml:space="preserve"> к ишемии сердца, головного мозга и почек</w:t>
      </w:r>
      <w:r w:rsidR="005706F6" w:rsidRPr="0044196C">
        <w:rPr>
          <w:color w:val="000000" w:themeColor="text1"/>
        </w:rPr>
        <w:t xml:space="preserve">. </w:t>
      </w:r>
      <w:r w:rsidR="00F80F66" w:rsidRPr="0044196C">
        <w:rPr>
          <w:color w:val="000000" w:themeColor="text1"/>
        </w:rPr>
        <w:t xml:space="preserve">СМАД </w:t>
      </w:r>
      <w:r w:rsidR="00184F7E" w:rsidRPr="0044196C">
        <w:rPr>
          <w:color w:val="000000" w:themeColor="text1"/>
        </w:rPr>
        <w:t>кроме того</w:t>
      </w:r>
      <w:r w:rsidR="00F80F66" w:rsidRPr="0044196C">
        <w:rPr>
          <w:color w:val="000000" w:themeColor="text1"/>
        </w:rPr>
        <w:t xml:space="preserve"> позволяет </w:t>
      </w:r>
      <w:r w:rsidR="00184F7E" w:rsidRPr="0044196C">
        <w:rPr>
          <w:color w:val="000000" w:themeColor="text1"/>
        </w:rPr>
        <w:t>диагностировать</w:t>
      </w:r>
      <w:r w:rsidR="00F80F66" w:rsidRPr="0044196C">
        <w:rPr>
          <w:color w:val="000000" w:themeColor="text1"/>
        </w:rPr>
        <w:t xml:space="preserve"> феномен гипертонии и гипотонии в период сна, оценивать показатели суточного ритма АД, имеющие самостоятельное прогностическое значение при ХБП.</w:t>
      </w:r>
    </w:p>
    <w:p w:rsidR="00261282" w:rsidRPr="0044196C" w:rsidRDefault="0030157E" w:rsidP="00261282">
      <w:pPr>
        <w:ind w:firstLine="851"/>
        <w:rPr>
          <w:color w:val="000000" w:themeColor="text1"/>
        </w:rPr>
      </w:pPr>
      <w:r w:rsidRPr="0044196C">
        <w:rPr>
          <w:color w:val="000000" w:themeColor="text1"/>
        </w:rPr>
        <w:t>Критерии диагностики АГ по результатам измерений АД, сделанных врачом</w:t>
      </w:r>
      <w:r w:rsidR="00261282" w:rsidRPr="0044196C">
        <w:rPr>
          <w:color w:val="000000" w:themeColor="text1"/>
        </w:rPr>
        <w:t xml:space="preserve">, </w:t>
      </w:r>
      <w:r w:rsidR="00184F7E" w:rsidRPr="0044196C">
        <w:rPr>
          <w:color w:val="000000" w:themeColor="text1"/>
        </w:rPr>
        <w:t xml:space="preserve">полученных </w:t>
      </w:r>
      <w:r w:rsidRPr="0044196C">
        <w:rPr>
          <w:color w:val="000000" w:themeColor="text1"/>
        </w:rPr>
        <w:t xml:space="preserve">самим пациентом в домашних условиях, </w:t>
      </w:r>
      <w:r w:rsidR="00261282" w:rsidRPr="0044196C">
        <w:rPr>
          <w:color w:val="000000" w:themeColor="text1"/>
        </w:rPr>
        <w:t>и СМАД</w:t>
      </w:r>
      <w:r w:rsidRPr="0044196C">
        <w:rPr>
          <w:color w:val="000000" w:themeColor="text1"/>
        </w:rPr>
        <w:t>различны (</w:t>
      </w:r>
      <w:fldSimple w:instr=" REF _Ref278787564 \h  \* MERGEFORMAT ">
        <w:r w:rsidR="009671E0" w:rsidRPr="0044196C">
          <w:rPr>
            <w:color w:val="000000" w:themeColor="text1"/>
          </w:rPr>
          <w:t xml:space="preserve">Таблица </w:t>
        </w:r>
        <w:r w:rsidR="009671E0" w:rsidRPr="0044196C">
          <w:rPr>
            <w:noProof/>
            <w:color w:val="000000" w:themeColor="text1"/>
          </w:rPr>
          <w:t>6</w:t>
        </w:r>
      </w:fldSimple>
      <w:r w:rsidRPr="0044196C">
        <w:rPr>
          <w:color w:val="000000" w:themeColor="text1"/>
        </w:rPr>
        <w:t>).</w:t>
      </w:r>
      <w:r w:rsidR="00B971C6" w:rsidRPr="0044196C">
        <w:rPr>
          <w:color w:val="000000" w:themeColor="text1"/>
        </w:rPr>
        <w:t xml:space="preserve"> </w:t>
      </w:r>
      <w:r w:rsidR="00261282" w:rsidRPr="0044196C">
        <w:rPr>
          <w:b/>
          <w:color w:val="000000" w:themeColor="text1"/>
        </w:rPr>
        <w:t>Изолированная клиническая АГ</w:t>
      </w:r>
      <w:r w:rsidR="00261282" w:rsidRPr="0044196C">
        <w:rPr>
          <w:color w:val="000000" w:themeColor="text1"/>
        </w:rPr>
        <w:t xml:space="preserve"> (так называемый ф</w:t>
      </w:r>
      <w:r w:rsidR="003D0D59" w:rsidRPr="0044196C">
        <w:rPr>
          <w:color w:val="000000" w:themeColor="text1"/>
        </w:rPr>
        <w:t>еном</w:t>
      </w:r>
      <w:r w:rsidR="00261282" w:rsidRPr="0044196C">
        <w:rPr>
          <w:color w:val="000000" w:themeColor="text1"/>
        </w:rPr>
        <w:t xml:space="preserve">ен «гипертонии на белый халат», т.е. </w:t>
      </w:r>
      <w:r w:rsidR="003D0D59" w:rsidRPr="0044196C">
        <w:rPr>
          <w:color w:val="000000" w:themeColor="text1"/>
        </w:rPr>
        <w:t xml:space="preserve">несовпадение данных измерений АД врачом, показывающих повышенные значения, и самоизмерений АД пациентом в домашних условиях или СМАД, показывающих нормальные значения) при наличии ХБП следует рассматривать как </w:t>
      </w:r>
      <w:r w:rsidR="00261282" w:rsidRPr="0044196C">
        <w:rPr>
          <w:color w:val="000000" w:themeColor="text1"/>
        </w:rPr>
        <w:t>состояние, требующее назначенияантигипертензивных препаратов</w:t>
      </w:r>
      <w:r w:rsidR="009D7C63" w:rsidRPr="0044196C">
        <w:rPr>
          <w:color w:val="000000" w:themeColor="text1"/>
          <w:lang w:val="en-US"/>
        </w:rPr>
        <w:fldChar w:fldCharType="begin" w:fldLock="1"/>
      </w:r>
      <w:r w:rsidR="00EA3B99" w:rsidRPr="0044196C">
        <w:rPr>
          <w:color w:val="000000" w:themeColor="text1"/>
          <w:lang w:val="en-US"/>
        </w:rPr>
        <w:instrText>ADDIN</w:instrText>
      </w:r>
      <w:r w:rsidR="00EA3B99" w:rsidRPr="0044196C">
        <w:rPr>
          <w:color w:val="000000" w:themeColor="text1"/>
        </w:rPr>
        <w:instrText xml:space="preserve"> </w:instrText>
      </w:r>
      <w:r w:rsidR="00EA3B99" w:rsidRPr="0044196C">
        <w:rPr>
          <w:color w:val="000000" w:themeColor="text1"/>
          <w:lang w:val="en-US"/>
        </w:rPr>
        <w:instrText>CSL</w:instrText>
      </w:r>
      <w:r w:rsidR="00EA3B99" w:rsidRPr="0044196C">
        <w:rPr>
          <w:color w:val="000000" w:themeColor="text1"/>
        </w:rPr>
        <w:instrText>_</w:instrText>
      </w:r>
      <w:r w:rsidR="00EA3B99" w:rsidRPr="0044196C">
        <w:rPr>
          <w:color w:val="000000" w:themeColor="text1"/>
          <w:lang w:val="en-US"/>
        </w:rPr>
        <w:instrText>CITATION</w:instrText>
      </w:r>
      <w:r w:rsidR="00EA3B99" w:rsidRPr="0044196C">
        <w:rPr>
          <w:color w:val="000000" w:themeColor="text1"/>
        </w:rPr>
        <w:instrText xml:space="preserve"> { "</w:instrText>
      </w:r>
      <w:r w:rsidR="00EA3B99" w:rsidRPr="0044196C">
        <w:rPr>
          <w:color w:val="000000" w:themeColor="text1"/>
          <w:lang w:val="en-US"/>
        </w:rPr>
        <w:instrText>citationItems</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0427\</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0418.\</w:instrText>
      </w:r>
      <w:r w:rsidR="00EA3B99" w:rsidRPr="0044196C">
        <w:rPr>
          <w:color w:val="000000" w:themeColor="text1"/>
          <w:lang w:val="en-US"/>
        </w:rPr>
        <w:instrText>u</w:instrText>
      </w:r>
      <w:r w:rsidR="00EA3B99" w:rsidRPr="0044196C">
        <w:rPr>
          <w:color w:val="000000" w:themeColor="text1"/>
        </w:rPr>
        <w:instrText>0415.",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0420\</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0413.",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0439\</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0410.",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0414.\</w:instrText>
      </w:r>
      <w:r w:rsidR="00EA3B99" w:rsidRPr="0044196C">
        <w:rPr>
          <w:color w:val="000000" w:themeColor="text1"/>
          <w:lang w:val="en-US"/>
        </w:rPr>
        <w:instrText>u</w:instrText>
      </w:r>
      <w:r w:rsidR="00EA3B99" w:rsidRPr="0044196C">
        <w:rPr>
          <w:color w:val="000000" w:themeColor="text1"/>
        </w:rPr>
        <w:instrText>0412.",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"2010" ] ] }, "</w:instrText>
      </w:r>
      <w:r w:rsidR="00EA3B99" w:rsidRPr="0044196C">
        <w:rPr>
          <w:color w:val="000000" w:themeColor="text1"/>
          <w:lang w:val="en-US"/>
        </w:rPr>
        <w:instrText>page</w:instrText>
      </w:r>
      <w:r w:rsidR="00EA3B99" w:rsidRPr="0044196C">
        <w:rPr>
          <w:color w:val="000000" w:themeColor="text1"/>
        </w:rPr>
        <w:instrText>" : "5-26",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0439 \</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0420\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0420\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0439\</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0449\</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0439 \</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0412\</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0439\</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0443\</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0449\</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"3"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=1</w:instrText>
      </w:r>
      <w:r w:rsidR="00EA3B99" w:rsidRPr="0044196C">
        <w:rPr>
          <w:color w:val="000000" w:themeColor="text1"/>
          <w:lang w:val="en-US"/>
        </w:rPr>
        <w:instrText>b</w:instrText>
      </w:r>
      <w:r w:rsidR="00EA3B99" w:rsidRPr="0044196C">
        <w:rPr>
          <w:color w:val="000000" w:themeColor="text1"/>
        </w:rPr>
        <w:instrText>81</w:instrText>
      </w:r>
      <w:r w:rsidR="00EA3B99" w:rsidRPr="0044196C">
        <w:rPr>
          <w:color w:val="000000" w:themeColor="text1"/>
          <w:lang w:val="en-US"/>
        </w:rPr>
        <w:instrText>a</w:instrText>
      </w:r>
      <w:r w:rsidR="00EA3B99" w:rsidRPr="0044196C">
        <w:rPr>
          <w:color w:val="000000" w:themeColor="text1"/>
        </w:rPr>
        <w:instrText>91</w:instrText>
      </w:r>
      <w:r w:rsidR="00EA3B99" w:rsidRPr="0044196C">
        <w:rPr>
          <w:color w:val="000000" w:themeColor="text1"/>
          <w:lang w:val="en-US"/>
        </w:rPr>
        <w:instrText>b</w:instrText>
      </w:r>
      <w:r w:rsidR="00EA3B99" w:rsidRPr="0044196C">
        <w:rPr>
          <w:color w:val="000000" w:themeColor="text1"/>
        </w:rPr>
        <w:instrText>-9</w:instrText>
      </w:r>
      <w:r w:rsidR="00EA3B99" w:rsidRPr="0044196C">
        <w:rPr>
          <w:color w:val="000000" w:themeColor="text1"/>
          <w:lang w:val="en-US"/>
        </w:rPr>
        <w:instrText>b</w:instrText>
      </w:r>
      <w:r w:rsidR="00EA3B99" w:rsidRPr="0044196C">
        <w:rPr>
          <w:color w:val="000000" w:themeColor="text1"/>
        </w:rPr>
        <w:instrText>6</w:instrText>
      </w:r>
      <w:r w:rsidR="00EA3B99" w:rsidRPr="0044196C">
        <w:rPr>
          <w:color w:val="000000" w:themeColor="text1"/>
          <w:lang w:val="en-US"/>
        </w:rPr>
        <w:instrText>a</w:instrText>
      </w:r>
      <w:r w:rsidR="00EA3B99" w:rsidRPr="0044196C">
        <w:rPr>
          <w:color w:val="000000" w:themeColor="text1"/>
        </w:rPr>
        <w:instrText>-4993-914</w:instrText>
      </w:r>
      <w:r w:rsidR="00EA3B99" w:rsidRPr="0044196C">
        <w:rPr>
          <w:color w:val="000000" w:themeColor="text1"/>
          <w:lang w:val="en-US"/>
        </w:rPr>
        <w:instrText>a</w:instrText>
      </w:r>
      <w:r w:rsidR="00EA3B99" w:rsidRPr="0044196C">
        <w:rPr>
          <w:color w:val="000000" w:themeColor="text1"/>
        </w:rPr>
        <w:instrText>-4</w:instrText>
      </w:r>
      <w:r w:rsidR="00EA3B99" w:rsidRPr="0044196C">
        <w:rPr>
          <w:color w:val="000000" w:themeColor="text1"/>
          <w:lang w:val="en-US"/>
        </w:rPr>
        <w:instrText>c</w:instrText>
      </w:r>
      <w:r w:rsidR="00EA3B99" w:rsidRPr="0044196C">
        <w:rPr>
          <w:color w:val="000000" w:themeColor="text1"/>
        </w:rPr>
        <w:instrText>0036</w:instrText>
      </w:r>
      <w:r w:rsidR="00EA3B99" w:rsidRPr="0044196C">
        <w:rPr>
          <w:color w:val="000000" w:themeColor="text1"/>
          <w:lang w:val="en-US"/>
        </w:rPr>
        <w:instrText>ce</w:instrText>
      </w:r>
      <w:r w:rsidR="00EA3B99" w:rsidRPr="0044196C">
        <w:rPr>
          <w:color w:val="000000" w:themeColor="text1"/>
        </w:rPr>
        <w:instrText>5323"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-2",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DOI</w:instrText>
      </w:r>
      <w:r w:rsidR="00EA3B99" w:rsidRPr="0044196C">
        <w:rPr>
          <w:color w:val="000000" w:themeColor="text1"/>
        </w:rPr>
        <w:instrText>" : "10.1093/</w:instrText>
      </w:r>
      <w:r w:rsidR="00EA3B99" w:rsidRPr="0044196C">
        <w:rPr>
          <w:color w:val="000000" w:themeColor="text1"/>
          <w:lang w:val="en-US"/>
        </w:rPr>
        <w:instrText>eurheartj</w:instrText>
      </w:r>
      <w:r w:rsidR="00EA3B99" w:rsidRPr="0044196C">
        <w:rPr>
          <w:color w:val="000000" w:themeColor="text1"/>
        </w:rPr>
        <w:instrText>/</w:instrText>
      </w:r>
      <w:r w:rsidR="00EA3B99" w:rsidRPr="0044196C">
        <w:rPr>
          <w:color w:val="000000" w:themeColor="text1"/>
          <w:lang w:val="en-US"/>
        </w:rPr>
        <w:instrText>eht</w:instrText>
      </w:r>
      <w:r w:rsidR="00EA3B99" w:rsidRPr="0044196C">
        <w:rPr>
          <w:color w:val="000000" w:themeColor="text1"/>
        </w:rPr>
        <w:instrText>151", "</w:instrText>
      </w:r>
      <w:r w:rsidR="00EA3B99" w:rsidRPr="0044196C">
        <w:rPr>
          <w:color w:val="000000" w:themeColor="text1"/>
          <w:lang w:val="en-US"/>
        </w:rPr>
        <w:instrText>ISSN</w:instrText>
      </w:r>
      <w:r w:rsidR="00EA3B99" w:rsidRPr="0044196C">
        <w:rPr>
          <w:color w:val="000000" w:themeColor="text1"/>
        </w:rPr>
        <w:instrText>" : "1522-9645", "</w:instrText>
      </w:r>
      <w:r w:rsidR="00EA3B99" w:rsidRPr="0044196C">
        <w:rPr>
          <w:color w:val="000000" w:themeColor="text1"/>
          <w:lang w:val="en-US"/>
        </w:rPr>
        <w:instrText>PMID</w:instrText>
      </w:r>
      <w:r w:rsidR="00EA3B99" w:rsidRPr="0044196C">
        <w:rPr>
          <w:color w:val="000000" w:themeColor="text1"/>
        </w:rPr>
        <w:instrText>" : "23771844",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Mancia</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Giuseppe</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Fagard</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Robert</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dropping-particle" : "", "parse-names" : false, "suffix" : "" }, { "dropping-particle" : "", "family" : "Narkiewicz", "given" : "Krzysztof", "non-dropping-particle" : "", "parse-names" : false, "suffix" : "" }, { "dropping-particle" : "", "family" : "Redon", "given" : "Josep", "non-dropping-particle" : "", "parse-names" : false, "suffix" : "" }, { "dropping-particle" : "", "family" : "Zanchetti", "given" : "Alberto", "non-dropping-particle" : "", "parse-names" : false, "suffix" : "" }, { "dropping-particle" : "", "family" : "B\u00f6hm", "given" : "Michael", "non-dropping-particle" : "", "parse-names" : false, "suffix" : "" }, { "dropping-particle" : "", "family" : "Christiaens", "given" : "Thierry", "non-dropping-particle" : "", "parse-names" : false, "suffix" : "" }, { "dropping-particle" : "", "family" : "Cifkova", "given" : "Renata", "non-dropping-particle" : "", "parse-names" : false, "suffix" : "" }, { "dropping-particle" : "", "family" : "Backer", "given" : "Guy", "non-dropping-particle" : "De", "parse-names" : false, "suffix" : "" }, { "dropping-particle" : "", "family" : "Dominiczak", "given" : "Anna", "non-dropping-particle" : "", "parse-names" : false, "suffix" : "" }, { "dropping-particle" : "", "family" : "Galderisi", "given" : "Maurizio", "non-dropping-particle" : "", "parse-names" : false, "suffix" : "" }, { "dropping-particle" : "", "family" : "Grobbee", "given" : "Diederick E", "non-dropping-particle" : "", "parse-names" : false, "suffix" : "" }, { "dropping-particle" : "", "family" : "Jaarsma", "given" : "Tiny", "non-dropping-particle" : "", "parse-names" : false, "suffix" : "" }, { "dropping-particle" : "", "family" : "Kirchhof", "given" : "Paulus", "non-dropping-particle" : "", "parse-names" : false, "suffix" : "" }, { "dropping-particle" : "", "family" : "Kjeldsen", "given" : "Sverre E", "non-dropping-particle" : "", "parse-names" : false, "suffix" : "" }, { "dropping-particle" : "", "family" : "Laurent", "given" : "St\u00e9phane", "non-dropping-particle" : "", "parse-names" : false, "suffix" : "" }, { "dropping-particle" : "", "family" : "Manolis", "given" : "Athanasios J", "non-dropping-particle" : "", "parse-names" : false, "suffix" : "" }, { "dropping-particle" : "", "family" : "Nilsson", "given" : "Peter M", "non-dropping-particle" : "", "parse-names" : false, "suffix" : "" }, { "dropping-particle" : "", "family" : "Ruilope", "given" : "Luis Miguel", "non-dropping-particle" : "", "parse-names" : false, "suffix" : "" }, { "dropping-particle" : "", "family" : "Schmieder", "given" : "Roland E", "non-dropping-particle" : "", "parse-names" : false, "suffix" : "" }, { "dropping-particle" : "", "family" : "Sirnes", "given" : "Per Anton", "non-dropping-particle" : "", "parse-names" : false, "suffix" : "" }, { "dropping-particle" : "", "family" : "Sleight", "given" : "Peter", "non-dropping-particle" : "", "parse-names" : false, "suffix" : "" }, { "dropping-particle" : "", "family" : "Viigimaa", "given" : "Margus", "non-dropping-particle" : "", "parse-names" : false, "suffix" : "" }, { "dropping-particle" : "", "family" : "Waeber", "given" : "Bernard", "non-dropping-particle" : "", "parse-names" : false, "suffix" : "" }, { "dropping-particle" : "", "family" : "Zannad", "given" : "Faiez", "non-dropping-particle" : "", "parse-names" : false, "suffix" : "" }, { "dropping-particle" : "", "family" : "Burnier", "given" : "Michel", "non-dropping-particle" : "", "parse-names" : false, "suffix" : "" }, { "dropping-particle" : "", "family" : "Ambrosioni", "given" : "Ettore", "non-dropping-particle" : "", "parse-names" : false, "suffix" : "" }, { "dropping-particle" : "", "family" : "Caufield", "given" : "Mark", "non-dropping-particle" : "", "parse-names" : false, "suffix" : "" }, { "dropping-particle" : "", "family" : "Coca", "given" : "Antonio", "non-dropping-particle" : "", "parse-names" : false, "suffix" : "" }, { "dropping-particle" : "", "family" : "Olsen", "given" : "Michael Hecht", "non-dropping-particle" : "", "parse-names" : false, "suffix" : "" }, { "dropping-particle" : "", "family" : "Tsioufis", "given" : "Costas", "non-dropping-particle" : "", "parse-names" : false, "suffix" : "" }, { "dropping-particle" : "", "family" : "Borne", "given" : "Philippe", "non-dropping-particle" : "van de", "parse-names" : false, "suffix" : "" }, { "dropping-particle" : "", "family" : "Zamorano", "given" : "Jose Luis", "non-dropping-particle" : "", "parse-names" : false, "suffix" : "" }, { "dropping-particle" : "", "family" : "Achenbach", "given" : "Stephan", "non-dropping-particle" : "", "parse-names" : false, "suffix" : "" }, { "dropping-particle" : "", "family" : "Baumgartner", "given" : "Helmut", "non-dropping-particle" : "", "parse-names" : false, "suffix" : "" }, { "dropping-particle" : "", "family" : "Bax", "given" : "Jeroen J", "non-dropping-particle" : "", "parse-names" : false, "suffix" : "" }, { "dropping-particle" : "", "family" : "Bueno", "given" : "H\u00e9ctor", "non-dropping-particle" : "", "parse-names" : false, "suffix" : "" }, { "dropping-particle" : "", "family" : "Dean", "given" : "Veronica", "non-dropping-particle" : "", "parse-names" : false, "suffix" : "" }, { "dropping-particle" : "", "family" : "Deaton", "given" : "Christi", "non-dropping-particle" : "", "parse-names" : false, "suffix" : "" }, { "dropping-particle" : "", "family" : "Erol", "given" : "Cetin", "non-dropping-particle" : "", "parse-names" : false, "suffix" : "" }, { "dropping-particle" : "", "family" : "Ferrari", "given" : "Roberto", "non-dropping-particle" : "", "parse-names" : false, "suffix" : "" }, { "dropping-particle" : "", "family" : "Hasdai", "given" : "David", "non-dropping-particle" : "", "parse-names" : false, "suffix" : "" }, { "dropping-particle" : "", "family" : "Hoes", "given" : "Arno W", "non-dropping-particle" : "", "parse-names" : false, "suffix" : "" }, { "dropping-particle" : "", "family" : "Knuuti", "given" : "Juhani", "non-dropping-particle" : "", "parse-names" : false, "suffix" : "" }, { "dropping-particle" : "", "family" : "Kolh", "given" : "Philippe", "non-dropping-particle" : "", "parse-names" : false, "suffix" : "" }, { "dropping-particle" : "", "family" : "Lancellotti", "given" : "Patrizio", "non-dropping-particle" : "", "parse-names" : false, "suffix" : "" }, { "dropping-particle" : "", "family" : "Linhart", "given" : "Ales", "non-dropping-particle" : "", "parse-names" : false, "suffix" : "" }, { "dropping-particle" : "", "family" : "Nihoyannopoulos", "given" : "Petros", "non-dropping-particle" : "", "parse-names" : false, "suffix" : "" }, { "dropping-particle" : "", "family" : "Piepoli", "given" : "Massimo F", "non-dropping-particle" : "", "parse-names" : false, "suffix" : "" }, { "dropping-particle" : "", "family" : "Ponikowski", "given" : "Piotr", "non-dropping-particle" : "", "parse-names" : false, "suffix" : "" }, { "dropping-particle" : "", "family" : "Tamargo", "given" : "Juan Luis", "non-dropping-particle" : "", "parse-names" : false, "suffix" : "" }, { "dropping-particle" : "", "family" : "Tendera", "given" : "Michal", "non-dropping-particle" : "", "parse-names" : false, "suffix" : "" }, { "dropping-particle" : "", "family" : "Torbicki", "given" : "Adam", "non-dropping-particle" : "", "parse-names" : false, "suffix" : "" }, { "dropping-particle" : "", "family" : "Wijns", "given" : "William", "non-dropping-particle" : "", "parse-names" : false, "suffix" : "" }, { "dropping-particle" : "", "family" : "Windecker", "given" : "Stephan", "non-dropping-particle" : "", "parse-names" : false, "suffix" : "" }, { "dropping-particle" : "", "family" : "Clement", "given" : "Denis L", "non-dropping-particle" : "", "parse-names" : false, "suffix" : "" }, { "dropping-particle" : "", "family" : "Gillebert", "given" : "Thierry C", "non-dropping-particle" : "", "parse-names" : false, "suffix" : "" }, { "dropping-particle" : "", "family" : "Rosei", "given" : "Enrico Agabiti", "non-dropping-particle" : "", "parse-names" : false, "suffix" : "" }, { "dropping-particle" : "", "family" : "Anker", "given" : "Stefan D", "non-dropping-particle" : "", "parse-names" : false, "suffix" : "" }, { "dropping-particle" : "", "family" : "Bauersachs", "given" : "Johann", "non-dropping-particle" : "", "parse-names" : false, "suffix" : "" }, { "dropping-particle" : "", "family" : "Hitij", "given" : "Jana Brguljan", "non-dropping-particle" : "", "parse-names" : false, "suffix" : "" }, { "dropping-particle" : "", "family" : "Caulfield", "given" : "Mark", "non-dropping-particle" : "", "parse-names" : false, "suffix" : "" }, { "dropping-particle" : "", "family" : "Buyzere", "given" : "Marc", "non-dropping-particle" : "De", "parse-names" : false, "suffix" : "" }, { "dropping-particle" : "", "family" : "Geest", "given" : "Sabina", "non-dropping-particle" : "De", "parse-names" : false, "suffix" : "" }, { "dropping-particle" : "", "family" : "Derumeaux", "given" : "Genevi\u00e8ve Anne", "non-dropping-particle" : "", "parse-names" : false, "suffix" : "" }, { "dropping-particle" : "", "family" : "Erdine", "given" : "Serap", "non-dropping-particle" : "", "parse-names" : false, "suffix" : "" }, { "dropping-particle" : "", "family" : "Farsang", "given" : "Csaba", "non-dropping-particle" : "", "parse-names" : false, "suffix" : "" }, { "dropping-particle" : "", "family" : "Funck-Brentano", "given" : "Christian", "non-dropping-particle" : "", "parse-names" : false, "suffix" : "" }, { "dropping-particle" : "", "family" : "Gerc", "given" : "Vjekoslav", "non-dropping-particle" : "", "parse-names" : false, "suffix" : "" }, { "dropping-particle" : "", "family" : "Germano", "given" : "Giuseppe", "non-dropping-particle" : "", "parse-names" : false, "suffix" : "" }, { "dropping-particle" : "", "family" : "Gielen", "given" : "Stephan", "non-dropping-particle" : "", "parse-names" : false, "suffix" : "" }, { "dropping-particle" : "", "family" : "Haller", "given" : "Herman", "non-dropping-particle" : "", "parse-names" : false, "suffix" : "" }, { "dropping-particle" : "", "family" : "Jordan", "given" : "Jens", "non-dropping-particle" : "", "parse-names" : false, "suffix" : "" }, { "dropping-particle" : "", "family" : "Kahan", "given" : "Thomas", "non-dropping-particle" : "", "parse-names" : false, "suffix" : "" }, { "dropping-particle" : "", "family" : "Komajda", "given" : "Michel", "non-dropping-particle" : "", "parse-names" : false, "suffix" : "" }, { "dropping-particle" : "", "family" : "Lovic", "given" : "Dragan", "non-dropping-particle" : "", "parse-names" : false, "suffix" : "" }, { "dropping-particle" : "", "family" : "Mahrholdt", "given" : "Heiko", "non-dropping-particle" : "", "parse-names" : false, "suffix" : "" }, { "dropping-particle" : "", "family" : "Ostergren", "given" : "Jan", "non-dropping-particle" : "", "parse-names" : false, "suffix" : "" }, { "dropping-particle" : "", "family" : "Parati", "given" : "Gianfranco", "non-dropping-particle" : "", "parse-names" : false, "suffix" : "" }, { "dropping-particle" : "", "family" : "Perk", "given" : "Joep", "non-dropping-particle" : "", "parse-names" : false, "suffix" : "" }, { "dropping-particle" : "", "family" : "Polonia", "given" : "Jorge", "non-dropping-particle" : "", "parse-names" : false, "suffix" : "" }, { "dropping-particle" : "", "family" : "Popescu", "given" : "Bogdan a", "non-dropping-particle" : "", "parse-names" : false, "suffix" : "" }, { "dropping-particle" : "", "family" : "Reiner", "given" : "Zeljko", "non-dropping-particle" : "", "parse-names" : false, "suffix" : "" }, { "dropping-particle" : "", "family" : "Ryd\u00e9n", "given" : "Lars", "non-dropping-particle" : "", "parse-names" : false, "suffix" : "" }, { "dropping-particle" : "", "family" : "Sirenko", "given" : "Yuriy", "non-dropping-particle" : "", "parse-names" : false, "suffix" : "" }, { "dropping-particle" : "", "family</w:instrText>
      </w:r>
      <w:r w:rsidR="00EA3B99" w:rsidRPr="0044196C">
        <w:rPr>
          <w:color w:val="000000" w:themeColor="text1"/>
        </w:rPr>
        <w:instrText>" : "</w:instrText>
      </w:r>
      <w:r w:rsidR="00EA3B99" w:rsidRPr="0044196C">
        <w:rPr>
          <w:color w:val="000000" w:themeColor="text1"/>
          <w:lang w:val="en-US"/>
        </w:rPr>
        <w:instrText>Stanton</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Alice</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Struijker</w:instrText>
      </w:r>
      <w:r w:rsidR="00EA3B99" w:rsidRPr="0044196C">
        <w:rPr>
          <w:color w:val="000000" w:themeColor="text1"/>
        </w:rPr>
        <w:instrText>-</w:instrText>
      </w:r>
      <w:r w:rsidR="00EA3B99" w:rsidRPr="0044196C">
        <w:rPr>
          <w:color w:val="000000" w:themeColor="text1"/>
          <w:lang w:val="en-US"/>
        </w:rPr>
        <w:instrText>Boudier</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Harry</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Vlachopoulos</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Charalambos</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Volpe</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Massimo</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Wood</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David</w:instrText>
      </w:r>
      <w:r w:rsidR="00EA3B99" w:rsidRPr="0044196C">
        <w:rPr>
          <w:color w:val="000000" w:themeColor="text1"/>
        </w:rPr>
        <w:instrText xml:space="preserve"> </w:instrText>
      </w:r>
      <w:r w:rsidR="00EA3B99" w:rsidRPr="0044196C">
        <w:rPr>
          <w:color w:val="000000" w:themeColor="text1"/>
          <w:lang w:val="en-US"/>
        </w:rPr>
        <w:instrText>a</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European</w:instrText>
      </w:r>
      <w:r w:rsidR="00EA3B99" w:rsidRPr="0044196C">
        <w:rPr>
          <w:color w:val="000000" w:themeColor="text1"/>
        </w:rPr>
        <w:instrText xml:space="preserve"> </w:instrText>
      </w:r>
      <w:r w:rsidR="00EA3B99" w:rsidRPr="0044196C">
        <w:rPr>
          <w:color w:val="000000" w:themeColor="text1"/>
          <w:lang w:val="en-US"/>
        </w:rPr>
        <w:instrText>heart</w:instrText>
      </w:r>
      <w:r w:rsidR="00EA3B99" w:rsidRPr="0044196C">
        <w:rPr>
          <w:color w:val="000000" w:themeColor="text1"/>
        </w:rPr>
        <w:instrText xml:space="preserve"> </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-2", "</w:instrText>
      </w:r>
      <w:r w:rsidR="00EA3B99" w:rsidRPr="0044196C">
        <w:rPr>
          <w:color w:val="000000" w:themeColor="text1"/>
          <w:lang w:val="en-US"/>
        </w:rPr>
        <w:instrText>issue</w:instrText>
      </w:r>
      <w:r w:rsidR="00EA3B99" w:rsidRPr="0044196C">
        <w:rPr>
          <w:color w:val="000000" w:themeColor="text1"/>
        </w:rPr>
        <w:instrText>" : "28",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"2013", "7" ] ] }, "</w:instrText>
      </w:r>
      <w:r w:rsidR="00EA3B99" w:rsidRPr="0044196C">
        <w:rPr>
          <w:color w:val="000000" w:themeColor="text1"/>
          <w:lang w:val="en-US"/>
        </w:rPr>
        <w:instrText>page</w:instrText>
      </w:r>
      <w:r w:rsidR="00EA3B99" w:rsidRPr="0044196C">
        <w:rPr>
          <w:color w:val="000000" w:themeColor="text1"/>
        </w:rPr>
        <w:instrText>" : "2159-219", "</w:instrText>
      </w:r>
      <w:r w:rsidR="00EA3B99" w:rsidRPr="0044196C">
        <w:rPr>
          <w:color w:val="000000" w:themeColor="text1"/>
          <w:lang w:val="en-US"/>
        </w:rPr>
        <w:instrText>title</w:instrText>
      </w:r>
      <w:r w:rsidR="00EA3B99" w:rsidRPr="0044196C">
        <w:rPr>
          <w:color w:val="000000" w:themeColor="text1"/>
        </w:rPr>
        <w:instrText xml:space="preserve">" : "2013 </w:instrText>
      </w:r>
      <w:r w:rsidR="00EA3B99" w:rsidRPr="0044196C">
        <w:rPr>
          <w:color w:val="000000" w:themeColor="text1"/>
          <w:lang w:val="en-US"/>
        </w:rPr>
        <w:instrText>ESH</w:instrText>
      </w:r>
      <w:r w:rsidR="00EA3B99" w:rsidRPr="0044196C">
        <w:rPr>
          <w:color w:val="000000" w:themeColor="text1"/>
        </w:rPr>
        <w:instrText>/</w:instrText>
      </w:r>
      <w:r w:rsidR="00EA3B99" w:rsidRPr="0044196C">
        <w:rPr>
          <w:color w:val="000000" w:themeColor="text1"/>
          <w:lang w:val="en-US"/>
        </w:rPr>
        <w:instrText>ESC</w:instrText>
      </w:r>
      <w:r w:rsidR="00EA3B99" w:rsidRPr="0044196C">
        <w:rPr>
          <w:color w:val="000000" w:themeColor="text1"/>
        </w:rPr>
        <w:instrText xml:space="preserve"> </w:instrText>
      </w:r>
      <w:r w:rsidR="00EA3B99" w:rsidRPr="0044196C">
        <w:rPr>
          <w:color w:val="000000" w:themeColor="text1"/>
          <w:lang w:val="en-US"/>
        </w:rPr>
        <w:instrText>guidelines</w:instrText>
      </w:r>
      <w:r w:rsidR="00EA3B99" w:rsidRPr="0044196C">
        <w:rPr>
          <w:color w:val="000000" w:themeColor="text1"/>
        </w:rPr>
        <w:instrText xml:space="preserve"> </w:instrText>
      </w:r>
      <w:r w:rsidR="00EA3B99" w:rsidRPr="0044196C">
        <w:rPr>
          <w:color w:val="000000" w:themeColor="text1"/>
          <w:lang w:val="en-US"/>
        </w:rPr>
        <w:instrText>for</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management</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arterial</w:instrText>
      </w:r>
      <w:r w:rsidR="00EA3B99" w:rsidRPr="0044196C">
        <w:rPr>
          <w:color w:val="000000" w:themeColor="text1"/>
        </w:rPr>
        <w:instrText xml:space="preserve"> </w:instrText>
      </w:r>
      <w:r w:rsidR="00EA3B99" w:rsidRPr="0044196C">
        <w:rPr>
          <w:color w:val="000000" w:themeColor="text1"/>
          <w:lang w:val="en-US"/>
        </w:rPr>
        <w:instrText>hypertension</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Task</w:instrText>
      </w:r>
      <w:r w:rsidR="00EA3B99" w:rsidRPr="0044196C">
        <w:rPr>
          <w:color w:val="000000" w:themeColor="text1"/>
        </w:rPr>
        <w:instrText xml:space="preserve"> </w:instrText>
      </w:r>
      <w:r w:rsidR="00EA3B99" w:rsidRPr="0044196C">
        <w:rPr>
          <w:color w:val="000000" w:themeColor="text1"/>
          <w:lang w:val="en-US"/>
        </w:rPr>
        <w:instrText>Force</w:instrText>
      </w:r>
      <w:r w:rsidR="00EA3B99" w:rsidRPr="0044196C">
        <w:rPr>
          <w:color w:val="000000" w:themeColor="text1"/>
        </w:rPr>
        <w:instrText xml:space="preserve"> </w:instrText>
      </w:r>
      <w:r w:rsidR="00EA3B99" w:rsidRPr="0044196C">
        <w:rPr>
          <w:color w:val="000000" w:themeColor="text1"/>
          <w:lang w:val="en-US"/>
        </w:rPr>
        <w:instrText>for</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Management</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Arterial</w:instrText>
      </w:r>
      <w:r w:rsidR="00EA3B99" w:rsidRPr="0044196C">
        <w:rPr>
          <w:color w:val="000000" w:themeColor="text1"/>
        </w:rPr>
        <w:instrText xml:space="preserve"> </w:instrText>
      </w:r>
      <w:r w:rsidR="00EA3B99" w:rsidRPr="0044196C">
        <w:rPr>
          <w:color w:val="000000" w:themeColor="text1"/>
          <w:lang w:val="en-US"/>
        </w:rPr>
        <w:instrText>Hypertension</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European</w:instrText>
      </w:r>
      <w:r w:rsidR="00EA3B99" w:rsidRPr="0044196C">
        <w:rPr>
          <w:color w:val="000000" w:themeColor="text1"/>
        </w:rPr>
        <w:instrText xml:space="preserve"> </w:instrText>
      </w:r>
      <w:r w:rsidR="00EA3B99" w:rsidRPr="0044196C">
        <w:rPr>
          <w:color w:val="000000" w:themeColor="text1"/>
          <w:lang w:val="en-US"/>
        </w:rPr>
        <w:instrText>Society</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Hypertension</w:instrText>
      </w:r>
      <w:r w:rsidR="00EA3B99" w:rsidRPr="0044196C">
        <w:rPr>
          <w:color w:val="000000" w:themeColor="text1"/>
        </w:rPr>
        <w:instrText xml:space="preserve"> (</w:instrText>
      </w:r>
      <w:r w:rsidR="00EA3B99" w:rsidRPr="0044196C">
        <w:rPr>
          <w:color w:val="000000" w:themeColor="text1"/>
          <w:lang w:val="en-US"/>
        </w:rPr>
        <w:instrText>ESH</w:instrText>
      </w:r>
      <w:r w:rsidR="00EA3B99" w:rsidRPr="0044196C">
        <w:rPr>
          <w:color w:val="000000" w:themeColor="text1"/>
        </w:rPr>
        <w:instrText xml:space="preserve">) </w:instrText>
      </w:r>
      <w:r w:rsidR="00EA3B99" w:rsidRPr="0044196C">
        <w:rPr>
          <w:color w:val="000000" w:themeColor="text1"/>
          <w:lang w:val="en-US"/>
        </w:rPr>
        <w:instrText>and</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European</w:instrText>
      </w:r>
      <w:r w:rsidR="00EA3B99" w:rsidRPr="0044196C">
        <w:rPr>
          <w:color w:val="000000" w:themeColor="text1"/>
        </w:rPr>
        <w:instrText xml:space="preserve"> </w:instrText>
      </w:r>
      <w:r w:rsidR="00EA3B99" w:rsidRPr="0044196C">
        <w:rPr>
          <w:color w:val="000000" w:themeColor="text1"/>
          <w:lang w:val="en-US"/>
        </w:rPr>
        <w:instrText>Society</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Cardiology</w:instrText>
      </w:r>
      <w:r w:rsidR="00EA3B99" w:rsidRPr="0044196C">
        <w:rPr>
          <w:color w:val="000000" w:themeColor="text1"/>
        </w:rPr>
        <w:instrText xml:space="preserve"> (</w:instrText>
      </w:r>
      <w:r w:rsidR="00EA3B99" w:rsidRPr="0044196C">
        <w:rPr>
          <w:color w:val="000000" w:themeColor="text1"/>
          <w:lang w:val="en-US"/>
        </w:rPr>
        <w:instrText>ESC</w:instrText>
      </w:r>
      <w:r w:rsidR="00EA3B99" w:rsidRPr="0044196C">
        <w:rPr>
          <w:color w:val="000000" w:themeColor="text1"/>
        </w:rPr>
        <w:instrText>).",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"34"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=3</w:instrText>
      </w:r>
      <w:r w:rsidR="00EA3B99" w:rsidRPr="0044196C">
        <w:rPr>
          <w:color w:val="000000" w:themeColor="text1"/>
          <w:lang w:val="en-US"/>
        </w:rPr>
        <w:instrText>a</w:instrText>
      </w:r>
      <w:r w:rsidR="00EA3B99" w:rsidRPr="0044196C">
        <w:rPr>
          <w:color w:val="000000" w:themeColor="text1"/>
        </w:rPr>
        <w:instrText>63</w:instrText>
      </w:r>
      <w:r w:rsidR="00EA3B99" w:rsidRPr="0044196C">
        <w:rPr>
          <w:color w:val="000000" w:themeColor="text1"/>
          <w:lang w:val="en-US"/>
        </w:rPr>
        <w:instrText>d</w:instrText>
      </w:r>
      <w:r w:rsidR="00EA3B99" w:rsidRPr="0044196C">
        <w:rPr>
          <w:color w:val="000000" w:themeColor="text1"/>
        </w:rPr>
        <w:instrText>721-</w:instrText>
      </w:r>
      <w:r w:rsidR="00EA3B99" w:rsidRPr="0044196C">
        <w:rPr>
          <w:color w:val="000000" w:themeColor="text1"/>
          <w:lang w:val="en-US"/>
        </w:rPr>
        <w:instrText>cff</w:instrText>
      </w:r>
      <w:r w:rsidR="00EA3B99" w:rsidRPr="0044196C">
        <w:rPr>
          <w:color w:val="000000" w:themeColor="text1"/>
        </w:rPr>
        <w:instrText>4-4</w:instrText>
      </w:r>
      <w:r w:rsidR="00EA3B99" w:rsidRPr="0044196C">
        <w:rPr>
          <w:color w:val="000000" w:themeColor="text1"/>
          <w:lang w:val="en-US"/>
        </w:rPr>
        <w:instrText>b</w:instrText>
      </w:r>
      <w:r w:rsidR="00EA3B99" w:rsidRPr="0044196C">
        <w:rPr>
          <w:color w:val="000000" w:themeColor="text1"/>
        </w:rPr>
        <w:instrText>35-</w:instrText>
      </w:r>
      <w:r w:rsidR="00EA3B99" w:rsidRPr="0044196C">
        <w:rPr>
          <w:color w:val="000000" w:themeColor="text1"/>
          <w:lang w:val="en-US"/>
        </w:rPr>
        <w:instrText>b</w:instrText>
      </w:r>
      <w:r w:rsidR="00EA3B99" w:rsidRPr="0044196C">
        <w:rPr>
          <w:color w:val="000000" w:themeColor="text1"/>
        </w:rPr>
        <w:instrText>0</w:instrText>
      </w:r>
      <w:r w:rsidR="00EA3B99" w:rsidRPr="0044196C">
        <w:rPr>
          <w:color w:val="000000" w:themeColor="text1"/>
          <w:lang w:val="en-US"/>
        </w:rPr>
        <w:instrText>fa</w:instrText>
      </w:r>
      <w:r w:rsidR="00EA3B99" w:rsidRPr="0044196C">
        <w:rPr>
          <w:color w:val="000000" w:themeColor="text1"/>
        </w:rPr>
        <w:instrText>-75</w:instrText>
      </w:r>
      <w:r w:rsidR="00EA3B99" w:rsidRPr="0044196C">
        <w:rPr>
          <w:color w:val="000000" w:themeColor="text1"/>
          <w:lang w:val="en-US"/>
        </w:rPr>
        <w:instrText>b</w:instrText>
      </w:r>
      <w:r w:rsidR="00EA3B99" w:rsidRPr="0044196C">
        <w:rPr>
          <w:color w:val="000000" w:themeColor="text1"/>
        </w:rPr>
        <w:instrText>89</w:instrText>
      </w:r>
      <w:r w:rsidR="00EA3B99" w:rsidRPr="0044196C">
        <w:rPr>
          <w:color w:val="000000" w:themeColor="text1"/>
          <w:lang w:val="en-US"/>
        </w:rPr>
        <w:instrText>cd</w:instrText>
      </w:r>
      <w:r w:rsidR="00EA3B99" w:rsidRPr="0044196C">
        <w:rPr>
          <w:color w:val="000000" w:themeColor="text1"/>
        </w:rPr>
        <w:instrText>65</w:instrText>
      </w:r>
      <w:r w:rsidR="00EA3B99" w:rsidRPr="0044196C">
        <w:rPr>
          <w:color w:val="000000" w:themeColor="text1"/>
          <w:lang w:val="en-US"/>
        </w:rPr>
        <w:instrText>fdf</w:instrText>
      </w:r>
      <w:r w:rsidR="00EA3B99" w:rsidRPr="0044196C">
        <w:rPr>
          <w:color w:val="000000" w:themeColor="text1"/>
        </w:rPr>
        <w:instrText>" ] } ], "</w:instrText>
      </w:r>
      <w:r w:rsidR="00EA3B99" w:rsidRPr="0044196C">
        <w:rPr>
          <w:color w:val="000000" w:themeColor="text1"/>
          <w:lang w:val="en-US"/>
        </w:rPr>
        <w:instrText>mendeley</w:instrText>
      </w:r>
      <w:r w:rsidR="00EA3B99" w:rsidRPr="0044196C">
        <w:rPr>
          <w:color w:val="000000" w:themeColor="text1"/>
        </w:rPr>
        <w:instrText>" : { "</w:instrText>
      </w:r>
      <w:r w:rsidR="00EA3B99" w:rsidRPr="0044196C">
        <w:rPr>
          <w:color w:val="000000" w:themeColor="text1"/>
          <w:lang w:val="en-US"/>
        </w:rPr>
        <w:instrText>previouslyFormattedCitation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0427\</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 xml:space="preserve">0440., 2010; </w:instrText>
      </w:r>
      <w:r w:rsidR="00EA3B99" w:rsidRPr="0044196C">
        <w:rPr>
          <w:color w:val="000000" w:themeColor="text1"/>
          <w:lang w:val="en-US"/>
        </w:rPr>
        <w:instrText>Mancia</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0440., 2013]" }, "</w:instrText>
      </w:r>
      <w:r w:rsidR="00EA3B99" w:rsidRPr="0044196C">
        <w:rPr>
          <w:color w:val="000000" w:themeColor="text1"/>
          <w:lang w:val="en-US"/>
        </w:rPr>
        <w:instrText>properties</w:instrText>
      </w:r>
      <w:r w:rsidR="00EA3B99" w:rsidRPr="0044196C">
        <w:rPr>
          <w:color w:val="000000" w:themeColor="text1"/>
        </w:rPr>
        <w:instrText>" : { "</w:instrText>
      </w:r>
      <w:r w:rsidR="00EA3B99" w:rsidRPr="0044196C">
        <w:rPr>
          <w:color w:val="000000" w:themeColor="text1"/>
          <w:lang w:val="en-US"/>
        </w:rPr>
        <w:instrText>noteIndex</w:instrText>
      </w:r>
      <w:r w:rsidR="00EA3B99" w:rsidRPr="0044196C">
        <w:rPr>
          <w:color w:val="000000" w:themeColor="text1"/>
        </w:rPr>
        <w:instrText>" : 0 }, "</w:instrText>
      </w:r>
      <w:r w:rsidR="00EA3B99" w:rsidRPr="0044196C">
        <w:rPr>
          <w:color w:val="000000" w:themeColor="text1"/>
          <w:lang w:val="en-US"/>
        </w:rPr>
        <w:instrText>schema</w:instrText>
      </w:r>
      <w:r w:rsidR="00EA3B99" w:rsidRPr="0044196C">
        <w:rPr>
          <w:color w:val="000000" w:themeColor="text1"/>
        </w:rPr>
        <w:instrText>" : "</w:instrText>
      </w:r>
      <w:r w:rsidR="00EA3B99" w:rsidRPr="0044196C">
        <w:rPr>
          <w:color w:val="000000" w:themeColor="text1"/>
          <w:lang w:val="en-US"/>
        </w:rPr>
        <w:instrText>https</w:instrText>
      </w:r>
      <w:r w:rsidR="00EA3B99" w:rsidRPr="0044196C">
        <w:rPr>
          <w:color w:val="000000" w:themeColor="text1"/>
        </w:rPr>
        <w:instrText>://</w:instrText>
      </w:r>
      <w:r w:rsidR="00EA3B99" w:rsidRPr="0044196C">
        <w:rPr>
          <w:color w:val="000000" w:themeColor="text1"/>
          <w:lang w:val="en-US"/>
        </w:rPr>
        <w:instrText>github</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style</w:instrText>
      </w:r>
      <w:r w:rsidR="00EA3B99" w:rsidRPr="0044196C">
        <w:rPr>
          <w:color w:val="000000" w:themeColor="text1"/>
        </w:rPr>
        <w:instrText>-</w:instrText>
      </w:r>
      <w:r w:rsidR="00EA3B99" w:rsidRPr="0044196C">
        <w:rPr>
          <w:color w:val="000000" w:themeColor="text1"/>
          <w:lang w:val="en-US"/>
        </w:rPr>
        <w:instrText>language</w:instrText>
      </w:r>
      <w:r w:rsidR="00EA3B99" w:rsidRPr="0044196C">
        <w:rPr>
          <w:color w:val="000000" w:themeColor="text1"/>
        </w:rPr>
        <w:instrText>/</w:instrText>
      </w:r>
      <w:r w:rsidR="00EA3B99" w:rsidRPr="0044196C">
        <w:rPr>
          <w:color w:val="000000" w:themeColor="text1"/>
          <w:lang w:val="en-US"/>
        </w:rPr>
        <w:instrText>schema</w:instrText>
      </w:r>
      <w:r w:rsidR="00EA3B99" w:rsidRPr="0044196C">
        <w:rPr>
          <w:color w:val="000000" w:themeColor="text1"/>
        </w:rPr>
        <w:instrText>/</w:instrText>
      </w:r>
      <w:r w:rsidR="00EA3B99" w:rsidRPr="0044196C">
        <w:rPr>
          <w:color w:val="000000" w:themeColor="text1"/>
          <w:lang w:val="en-US"/>
        </w:rPr>
        <w:instrText>raw</w:instrText>
      </w:r>
      <w:r w:rsidR="00EA3B99" w:rsidRPr="0044196C">
        <w:rPr>
          <w:color w:val="000000" w:themeColor="text1"/>
        </w:rPr>
        <w:instrText>/</w:instrText>
      </w:r>
      <w:r w:rsidR="00EA3B99" w:rsidRPr="0044196C">
        <w:rPr>
          <w:color w:val="000000" w:themeColor="text1"/>
          <w:lang w:val="en-US"/>
        </w:rPr>
        <w:instrText>master</w:instrText>
      </w:r>
      <w:r w:rsidR="00EA3B99" w:rsidRPr="0044196C">
        <w:rPr>
          <w:color w:val="000000" w:themeColor="text1"/>
        </w:rPr>
        <w:instrText>/</w:instrText>
      </w:r>
      <w:r w:rsidR="00EA3B99" w:rsidRPr="0044196C">
        <w:rPr>
          <w:color w:val="000000" w:themeColor="text1"/>
          <w:lang w:val="en-US"/>
        </w:rPr>
        <w:instrText>csl</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json</w:instrText>
      </w:r>
      <w:r w:rsidR="00EA3B99" w:rsidRPr="0044196C">
        <w:rPr>
          <w:color w:val="000000" w:themeColor="text1"/>
        </w:rPr>
        <w:instrText>" }</w:instrText>
      </w:r>
      <w:r w:rsidR="009D7C63" w:rsidRPr="0044196C">
        <w:rPr>
          <w:color w:val="000000" w:themeColor="text1"/>
          <w:lang w:val="en-US"/>
        </w:rPr>
        <w:fldChar w:fldCharType="separate"/>
      </w:r>
      <w:r w:rsidR="00EA3B99" w:rsidRPr="0044196C">
        <w:rPr>
          <w:noProof/>
          <w:color w:val="000000" w:themeColor="text1"/>
        </w:rPr>
        <w:t xml:space="preserve">[Чазова и др., 2010; </w:t>
      </w:r>
      <w:r w:rsidR="00EA3B99" w:rsidRPr="0044196C">
        <w:rPr>
          <w:noProof/>
          <w:color w:val="000000" w:themeColor="text1"/>
          <w:lang w:val="en-US"/>
        </w:rPr>
        <w:t>Mancia</w:t>
      </w:r>
      <w:r w:rsidR="00EA3B99" w:rsidRPr="0044196C">
        <w:rPr>
          <w:noProof/>
          <w:color w:val="000000" w:themeColor="text1"/>
        </w:rPr>
        <w:t xml:space="preserve"> и др., 2013]</w:t>
      </w:r>
      <w:r w:rsidR="009D7C63" w:rsidRPr="0044196C">
        <w:rPr>
          <w:color w:val="000000" w:themeColor="text1"/>
        </w:rPr>
        <w:fldChar w:fldCharType="end"/>
      </w:r>
      <w:r w:rsidR="003D0D59" w:rsidRPr="0044196C">
        <w:rPr>
          <w:color w:val="000000" w:themeColor="text1"/>
        </w:rPr>
        <w:t>.</w:t>
      </w:r>
      <w:r w:rsidR="00B971C6" w:rsidRPr="0044196C">
        <w:rPr>
          <w:color w:val="000000" w:themeColor="text1"/>
        </w:rPr>
        <w:t xml:space="preserve"> </w:t>
      </w:r>
      <w:r w:rsidR="00261282" w:rsidRPr="0044196C">
        <w:rPr>
          <w:b/>
          <w:color w:val="000000" w:themeColor="text1"/>
        </w:rPr>
        <w:t>Изолированная амбулаторная АГ</w:t>
      </w:r>
      <w:r w:rsidR="00261282" w:rsidRPr="0044196C">
        <w:rPr>
          <w:color w:val="000000" w:themeColor="text1"/>
        </w:rPr>
        <w:t xml:space="preserve"> (или «скрытая гипертония», т.е. несовпадение данных измерений АД врачом, показывающих нормальные значения, и самоизмерений АД пациентом в домашних условиях или СМАД, показывающих повышенные значения) независимо от наличия ХБП является состоянием, связанным с повышенным риском ССО</w:t>
      </w:r>
      <w:r w:rsidR="00F80F66" w:rsidRPr="0044196C">
        <w:rPr>
          <w:color w:val="000000" w:themeColor="text1"/>
        </w:rPr>
        <w:t xml:space="preserve">; тактика лечения строится, как при обычной АГ </w:t>
      </w:r>
      <w:r w:rsidR="009D7C63" w:rsidRPr="0044196C">
        <w:rPr>
          <w:color w:val="000000" w:themeColor="text1"/>
          <w:lang w:val="en-US"/>
        </w:rPr>
        <w:fldChar w:fldCharType="begin" w:fldLock="1"/>
      </w:r>
      <w:r w:rsidR="00EA3B99" w:rsidRPr="0044196C">
        <w:rPr>
          <w:color w:val="000000" w:themeColor="text1"/>
          <w:lang w:val="en-US"/>
        </w:rPr>
        <w:instrText>ADDIN</w:instrText>
      </w:r>
      <w:r w:rsidR="00EA3B99" w:rsidRPr="0044196C">
        <w:rPr>
          <w:color w:val="000000" w:themeColor="text1"/>
        </w:rPr>
        <w:instrText xml:space="preserve"> </w:instrText>
      </w:r>
      <w:r w:rsidR="00EA3B99" w:rsidRPr="0044196C">
        <w:rPr>
          <w:color w:val="000000" w:themeColor="text1"/>
          <w:lang w:val="en-US"/>
        </w:rPr>
        <w:instrText>CSL</w:instrText>
      </w:r>
      <w:r w:rsidR="00EA3B99" w:rsidRPr="0044196C">
        <w:rPr>
          <w:color w:val="000000" w:themeColor="text1"/>
        </w:rPr>
        <w:instrText>_</w:instrText>
      </w:r>
      <w:r w:rsidR="00EA3B99" w:rsidRPr="0044196C">
        <w:rPr>
          <w:color w:val="000000" w:themeColor="text1"/>
          <w:lang w:val="en-US"/>
        </w:rPr>
        <w:instrText>CITATION</w:instrText>
      </w:r>
      <w:r w:rsidR="00EA3B99" w:rsidRPr="0044196C">
        <w:rPr>
          <w:color w:val="000000" w:themeColor="text1"/>
        </w:rPr>
        <w:instrText xml:space="preserve"> { "</w:instrText>
      </w:r>
      <w:r w:rsidR="00EA3B99" w:rsidRPr="0044196C">
        <w:rPr>
          <w:color w:val="000000" w:themeColor="text1"/>
          <w:lang w:val="en-US"/>
        </w:rPr>
        <w:instrText>citationItems</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0427\</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0418.\</w:instrText>
      </w:r>
      <w:r w:rsidR="00EA3B99" w:rsidRPr="0044196C">
        <w:rPr>
          <w:color w:val="000000" w:themeColor="text1"/>
          <w:lang w:val="en-US"/>
        </w:rPr>
        <w:instrText>u</w:instrText>
      </w:r>
      <w:r w:rsidR="00EA3B99" w:rsidRPr="0044196C">
        <w:rPr>
          <w:color w:val="000000" w:themeColor="text1"/>
        </w:rPr>
        <w:instrText>0415.",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0420\</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0413.",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0439\</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0410.",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0414.\</w:instrText>
      </w:r>
      <w:r w:rsidR="00EA3B99" w:rsidRPr="0044196C">
        <w:rPr>
          <w:color w:val="000000" w:themeColor="text1"/>
          <w:lang w:val="en-US"/>
        </w:rPr>
        <w:instrText>u</w:instrText>
      </w:r>
      <w:r w:rsidR="00EA3B99" w:rsidRPr="0044196C">
        <w:rPr>
          <w:color w:val="000000" w:themeColor="text1"/>
        </w:rPr>
        <w:instrText>0412.",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"2010" ] ] }, "</w:instrText>
      </w:r>
      <w:r w:rsidR="00EA3B99" w:rsidRPr="0044196C">
        <w:rPr>
          <w:color w:val="000000" w:themeColor="text1"/>
          <w:lang w:val="en-US"/>
        </w:rPr>
        <w:instrText>page</w:instrText>
      </w:r>
      <w:r w:rsidR="00EA3B99" w:rsidRPr="0044196C">
        <w:rPr>
          <w:color w:val="000000" w:themeColor="text1"/>
        </w:rPr>
        <w:instrText>" : "5-26",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w:instrText>
      </w:r>
      <w:r w:rsidR="00EA3B99" w:rsidRPr="0044196C">
        <w:rPr>
          <w:color w:val="000000" w:themeColor="text1"/>
          <w:lang w:val="en-US"/>
        </w:rPr>
        <w:instrText>35\u0447\u0435\u043d\u0438\u0435 \u0430\u0440\u0442\u0435\u0440\u0438\u0430\u043b\u044c\u043d\u043e\u0439 \u0433\u0438\u043f\u0435\u0440\u0442\u0435\u043d\u0437\u0438\u0438. (\u0420\u0435\u043a\u043e\u043c\u0435\u043d\u0434\u0430\u0446\u0438\u0438 \u0420\u043e\u0441\u0441\u0438\u0439\u0441\u043a\u043e\u0433\u043e \u043c\u0435\u0434\u0438\u0446\u0438\u043d\u0441\u043a\u043e\u0433\u043e \u043e\u0431\u0449\u0435\u0441\u0442\u0432\u0430 \u043f\u043e \u0430\u0440\u0442\u0435\u0440\u0438\u0430\u043b\u044c\u043d\u043e\u0439 \u0433\u0438\u043f\u0435\u0440\u0442\u043e\u043d\u0438\u0438 \u0438 \u0412\u0441\u0435\u0440\u043e\u0441\u0441\u0438\u0439\u0441\u043a\u043e\u0433\u043e \u043d\u0430\u0443\u0447\u043d\u043e\u0433\u043e \u043e\u0431\u0449\u0435\u0441\u0442\u0432\u0430 \u043a\u0430\u0440\u0434\u0438\u043e\u043b\u043e\u0433\u043e\u0432)", "type" : "article-journal", "volume" : "3" }, "uris" : [ "http://www.mendeley.com/documents/?uuid=1b81a91b-9b6a-4993-914a-4c0036ce5323" ] }, { "id" : "ITEM-2", "itemData" : { "DOI" : "10.1093/eurheartj/eht151", "ISSN" : "1522-9645", "PMID" : "23771844", "author" : [ { "dropping-particle" : "", "family" : "Mancia", "given" : "Giuseppe", "non-dropping-particle" : "", "parse-names" : false, "suffix" : "" }, { "dropping-particle" : "", "family" : "Fagard", "given" : "Robert", "non-dropping-particle" : "", "parse-names" : false, "suffix" : "" }, { "dropping-particle" : "", "family" : "Narkiewicz", "given" : "Krzysztof", "non-dropping-particle" : "", "parse-names" : false, "suffix" : "" }, { "dropping-particle" : "", "family" : "Redon", "given" : "Josep", "non-dropping-particle" : "", "parse-names" : false, "suffix" : "" }, { "dropping-particle" : "", "family" : "Zanchetti", "given" : "Alberto", "non-dropping-particle" : "", "parse-names" : false, "suffix" : "" }, { "dropping-particle" : "", "family" : "B\u00f6hm", "given" : "Michael", "non-dropping-particle" : "", "parse-names" : false, "suffix" : "" }, { "dropping-particle" : "", "family" : "Christiaens", "given" : "Thierry", "non-dropping-particle" : "", "parse-names" : false, "suffix" : "" }, { "dropping-particle" : "", "family" : "Cifkova", "given" : "Renata", "non-dropping-particle" : "", "parse-names" : false, "suffix" : "" }, { "dropping-particle" : "", "family" : "Backer", "given" : "Guy", "non-dropping-particle" : "De", "parse-names" : false, "suffix" : "" }, { "dropping-particle" : "", "family" : "Dominiczak", "given" : "Anna", "non-dropping-particle" : "", "parse-names" : false, "suffix" : "" }, { "dropping-particle" : "", "family" : "Galderisi", "given" : "Maurizio", "non-dropping-particle" : "", "parse-names" : false, "suffix" : "" }, { "dropping-particle" : "", "family" : "Grobbee", "given" : "Diederick E", "non-dropping-particle" : "", "parse-names" : false, "suffix" : "" }, { "dropping-particle" : "", "family" : "Jaarsma", "given" : "Tiny", "non-dropping-particle" : "", "parse-names" : false, "suffix" : "" }, { "dropping-particle" : "", "family" : "Kirchhof", "given" : "Paulus", "non-dropping-particle" : "", "parse-names" : false, "suffix" : "" }, { "dropping-particle" : "", "family" : "Kjeldsen", "given" : "Sverre E", "non-dropping-particle" : "", "parse-names" : false, "suffix" : "" }, { "dropping-particle" : "", "family" : "Laurent", "given" : "St\u00e9phane", "non-dropping-particle" : "", "parse-names" : false, "suffix" : "" }, { "dropping-particle" : "", "family" : "Manolis", "given" : "Athanasios J", "non-dropping-particle" : "", "parse-names" : false, "suffix" : "" }, { "dropping-particle" : "", "family" : "Nilsson", "given" : "Peter M", "non-dropping-particle" : "", "parse-names" : false, "suffix" : "" }, { "dropping-particle" : "", "family" : "Ruilope", "given" : "Luis Miguel", "non-dropping-particle" : "", "parse-names" : false, "suffix" : "" }, { "dropping-particle" : "", "family" : "Schmieder", "given" : "Roland E", "non-dropping-particle" : "", "parse-names" : false, "suffix" : "" }, { "dropping-particle" : "", "family" : "Sirnes", "given" : "Per Anton", "non-dropping-particle" : "", "parse-names" : false, "suffix" : "" }, { "dropping-particle" : "", "family" : "Sleight", "given" : "Peter", "non-dropping-particle" : "", "parse-names" : false, "suffix" : "" }, { "dropping-particle" : "", "family" : "Viigimaa", "given" : "Margus", "non-dropping-particle" : "", "parse-names" : false, "suffix" : "" }, { "dropping-particle" : "", "family" : "Waeber", "given" : "Bernard", "non-dropping-particle" : "", "parse-names" : false, "suffix" : "" }, { "dropping-particle" : "", "family" : "Zannad", "given" : "Faiez", "non-dropping-particle" : "", "parse-names" : false, "suffix" : "" }, { "dropping-particle" : "", "family" : "Burnier", "given" : "Michel", "non-dropping-particle" : "", "parse-names" : false, "suffix" : "" }, { "dropping-particle" : "", "family" : "Ambrosioni", "given" : "Ettore", "non-dropping-particle" : "", "parse-names" : false, "suffix" : "" }, { "dropping-particle" : "", "family" : "Caufield", "given" : "Mark", "non-dropping-particle" : "", "parse-names" : false, "suffix" : "" }, { "dropping-particle" : "", "family" : "Coca", "given" : "Antonio", "non-dropping-particle" : "", "parse-names" : false, "suffix" : "" }, { "dropping-particle" : "", "family" : "Olsen", "given" : "Michael Hecht", "non-dropping-particle" : "", "parse-names" : false, "suffix" : "" }, { "dropping-particle" : "", "family" : "Tsioufis", "given" : "Costas", "non-dropping-particle" : "", "parse-names" : false, "suffix" : "" }, { "dropping-particle" : "", "family" : "Borne", "given" : "Philippe", "non-dropping-particle" : "van de", "parse-names" : false, "suffix" : "" }, { "dropping-particle" : "", "family" : "Zamorano", "given" : "Jose Luis", "non-dropping-particle" : "", "parse-names" : false, "suffix" : "" }, { "dropping-particle" : "", "family" : "Achenbach", "given" : "Stephan", "non-dropping-particle" : "", "parse-names" : false, "suffix" : "" }, { "dropping-particle" : "", "family" : "Baumgartner", "given" : "Helmut", "non-dropping-particle" : "", "parse-names" : false, "suffix" : "" }, { "dropping-particle" : "", "family" : "Bax", "given" : "Jeroen J", "non-dropping-particle" : "", "parse-names" : false, "suffix" : "" }, { "dropping-particle" : "", "family" : "Bueno", "given" : "H\u00e9ctor", "non-dropping-particle" : "", "parse-names" : false, "suffix" : "" }, { "dropping-particle" : "", "family" : "Dean", "given" : "Veronica", "non-dropping-particle" : "", "parse-names" : false, "suffix" : "" }, { "dropping-particle" : "", "family" : "Deaton", "given" : "Christi", "non-dropping-particle" : "", "parse-names" : false, "suffix" : "" }, { "dropping-particle" : "", "family" : "Erol", "given" : "Cetin", "non-dropping-particle" : "", "parse-names" : false, "suffix" : "" }, { "dropping-particle" : "", "family" : "Ferrari", "given" : "Roberto", "non-dropping-particle" : "", "parse-names" : false, "suffix" : "" }, { "dropping-particle" : "", "family" : "Hasdai", "given" : "David", "non-dropping-particle" : "", "parse-names" : false, "suffix" : "" }, { "dropping-particle" : "", "family" : "Hoes", "given" : "Arno W", "non-dropping-particle" : "", "parse-names" : false, "suffix" : "" }, { "dropping-particle" : "", "family" : "Knuuti", "given" : "Juhani", "non-dropping-particle" : "", "parse-names" : false, "suffix" : "" }, { "dropping-particle" : "", "family" : "Kolh", "given" : "Philippe", "non-dropping-particle" : "", "parse-names" : false, "suffix" : "" }, { "dropping-particle" : "", "family" : "Lancellotti", "given" : "Patrizio", "non-dropping-particle" : "", "parse-names" : false, "suffix" : "" }, { "dropping-particle" : "", "family" : "Linhart", "given" : "Ales", "non-dropping-particle" : "", "parse-names" : false, "suffix" : "" }, { "dropping-particle" : "", "family" : "Nihoyannopoulos", "given" : "Petros", "non-dropping-particle" : "", "parse-names" : false, "suffix" : "" }, { "dropping-particle" : "", "family" : "Piepoli", "given" : "Massimo F", "non-dropping-particle" : "", "parse-names" : false, "suffix" : "" }, { "dropping-particle" : "", "family" : "Ponikowski", "given" : "Piotr", "non-dropping-particle" : "", "parse-names" : false, "suffix" : "" }, { "dropping-particle" : "", "family" : "Tamargo", "given" : "Juan Luis", "non-dropping-particle" : "", "parse-names" : false, "suffix" : "" }, { "dropping-particle" : "", "family" : "Tendera", "given" : "Michal", "non-dropping-particle" : "", "parse-names" : false, "suffix" : "" }, { "dropping-particle" : "", "family" : "Torbicki", "given" : "Adam", "non-dropping-particle" : "", "parse-names" : false, "suffix" : "" }, { "dropping-particle" : "", "family" : "Wijns", "given" : "William", "non-dropping-particle" : "", "parse-names" : false, "suffix" : "" }, { "dropping-particle" : "", "family" : "Windecker", "given" : "Stephan", "non-dropping-particle" : "", "parse-names" : false, "suffix" : "" }, { "dropping-particle" : "", "family" : "Clement", "given" : "Denis L", "non-dropping-particle" : "", "parse-names" : false, "suffix" : "" }, { "dropping-particle" : "", "family" : "Gillebert", "given" : "Thierry C", "non-dropping-particle" : "", "parse-names" : false, "suffix" : "" }, { "dropping-particle" : "", "family" : "Rosei", "given" : "Enrico Agabiti", "non-dropping-particle" : "", "parse-names" : false, "suffix" : "" }, { "dropping-particle" : "", "family" : "Anker", "given" : "Stefan D", "non-dropping-particle" : "", "parse-names" : false, "suffix" : "" }, { "dropping-particle" : "", "family" : "Bauersachs", "given" : "Johann", "non-dropping-particle" : "", "parse-names" : false, "suffix" : "" }, { "dropping-particle" : "", "family" : "Hitij", "given" : "Jana Brguljan", "non-dropping-particle" : "", "parse-names" : false, "suffix" : "" }, { "dropping-particle" : "", "family" : "Caulfield", "given" : "Mark", "non-dropping-particle" : "", "parse-names" : false, "suffix" : "" }, { "dropping-particle" : "", "family" : "Buyzere", "given" : "Marc", "non-dropping-particle" : "De", "parse-names" : false, "suffix" : "" }, { "dropping-particle" : "", "family" : "Geest", "given" : "Sabina", "non-dropping-particle" : "De", "parse-names" : false, "suffix" : "" }, { "dropping-particle" : "", "family" : "Derumeaux", "given" : "Genevi\u00e8ve Anne", "non-dropping-particle" : "", "parse-names" : false, "suffix" : "" }, { "dropping-particle" : "", "family" : "Erdine", "given" : "Serap", "non-dropping-particle" : "", "parse-names" : false, "suffix" : "" }, { "dropping-particle" : "", "family" : "Farsang", "given" : "Csaba", "non-dropping-particle" : "", "parse-names" : false, "suffix" : "" }, { "dropping-particle" : "", "family" : "Funck-Brentano", "given" : "Christian", "non-dropping-particle" : "", "parse-names" : false, "suffix" : "" }, { "dropping-particle" : "", "family" : "Gerc", "given" : "Vjekoslav", "non-dropping-particle" : "", "parse-names" : false, "suffix" : "" }, { "dropping-particle" : "", "family" : "Germano", "given" : "Giuseppe", "non-dropping-particle" : "", "parse-names" : false, "suffix" : "" }, { "dropping-particle" : "", "family" : "Gielen", "given" : "Stephan", "non-dropping-particle" : "", "parse-names" : false, "suffix" : "" }, { "dropping-particle" : "", "family" : "Haller", "given" : "Herman", "non-dropping-particle" : "", "parse-names" : false, "suffix" : "" }, { "dropping-particle" : "", "family" : "Jordan", "given" : "Jens", "non-dropping-particle" : "", "parse-names" : false, "suffix" : "" }, { "dropping-particle" : "", "family" : "Kahan", "given" : "Thomas", "non-dropping-particle" : "", "parse-names" : false, "suffix" : "" }, { "dropping-particle" : "", "family" : "Komajda", "given" : "Michel", "non-dropping-particle" : "", "parse-names" : false, "suffix" : "" }, { "dropping-particle" : "", "family" : "Lovic", "given" : "Dragan", "non-dropping-particle" : "", "parse-names" : false, "suffix" : "" }, { "dropping-particle" : "", "family" : "Mahrholdt", "given" : "Heiko", "non-dropping-particle" : "", "parse-names" : false, "suffix" : "" }, { "dropping-particle" : "", "family" : "Ostergren", "given" : "Jan", "non-dropping-particle" : "", "parse-names" : false, "suffix" : "" }, { "dropping-particle" : "", "family" : "Parati", "given" : "Gianfranco", "non-dropping-particle" : "", "parse-names" : false, "suffix" : "" }, { "dropping-particle" : "", "family" : "Perk", "given" : "Joep", "non-dropping-particle" : "", "parse-names" : false, "suffix" : "" }, { "dropping-particle" : "", "family" : "Polonia", "given" : "Jorge", "non-dropping-particle" : "", "parse-names" : false, "suffix" : "" }, { "dropping-particle" : "", "family" : "Popescu", "given" : "Bogdan a", "non-dropping-particle" : "", "parse-names" : false, "suffix" : "" }, { "dropping-particle" : "", "family" : "Reiner", "given" : "Zeljko", "non-dropping-particle" : "", "parse-names" : false, "suffix" : "" }, { "dropping-particle" : "", "family" : "Ryd\u00e9n", "given" : "Lars", "non-dropping-particle" : "", "parse-names" : false, "suffix" : "" }, { "dropping-particle" : "", "family" : "Sirenko", "given" : "Yuriy", "non-dropping-particle" : "", "parse-names" : false, "suffix" : "" }, { "dropping-particle" : "", "family</w:instrText>
      </w:r>
      <w:r w:rsidR="00EA3B99" w:rsidRPr="0044196C">
        <w:rPr>
          <w:color w:val="000000" w:themeColor="text1"/>
        </w:rPr>
        <w:instrText>" : "</w:instrText>
      </w:r>
      <w:r w:rsidR="00EA3B99" w:rsidRPr="0044196C">
        <w:rPr>
          <w:color w:val="000000" w:themeColor="text1"/>
          <w:lang w:val="en-US"/>
        </w:rPr>
        <w:instrText>Stanton</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Alice</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Struijker</w:instrText>
      </w:r>
      <w:r w:rsidR="00EA3B99" w:rsidRPr="0044196C">
        <w:rPr>
          <w:color w:val="000000" w:themeColor="text1"/>
        </w:rPr>
        <w:instrText>-</w:instrText>
      </w:r>
      <w:r w:rsidR="00EA3B99" w:rsidRPr="0044196C">
        <w:rPr>
          <w:color w:val="000000" w:themeColor="text1"/>
          <w:lang w:val="en-US"/>
        </w:rPr>
        <w:instrText>Boudier</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Harry</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Vlachopoulos</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Charalambos</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Volpe</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Massimo</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Wood</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David</w:instrText>
      </w:r>
      <w:r w:rsidR="00EA3B99" w:rsidRPr="0044196C">
        <w:rPr>
          <w:color w:val="000000" w:themeColor="text1"/>
        </w:rPr>
        <w:instrText xml:space="preserve"> </w:instrText>
      </w:r>
      <w:r w:rsidR="00EA3B99" w:rsidRPr="0044196C">
        <w:rPr>
          <w:color w:val="000000" w:themeColor="text1"/>
          <w:lang w:val="en-US"/>
        </w:rPr>
        <w:instrText>a</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European</w:instrText>
      </w:r>
      <w:r w:rsidR="00EA3B99" w:rsidRPr="0044196C">
        <w:rPr>
          <w:color w:val="000000" w:themeColor="text1"/>
        </w:rPr>
        <w:instrText xml:space="preserve"> </w:instrText>
      </w:r>
      <w:r w:rsidR="00EA3B99" w:rsidRPr="0044196C">
        <w:rPr>
          <w:color w:val="000000" w:themeColor="text1"/>
          <w:lang w:val="en-US"/>
        </w:rPr>
        <w:instrText>heart</w:instrText>
      </w:r>
      <w:r w:rsidR="00EA3B99" w:rsidRPr="0044196C">
        <w:rPr>
          <w:color w:val="000000" w:themeColor="text1"/>
        </w:rPr>
        <w:instrText xml:space="preserve"> </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-2", "</w:instrText>
      </w:r>
      <w:r w:rsidR="00EA3B99" w:rsidRPr="0044196C">
        <w:rPr>
          <w:color w:val="000000" w:themeColor="text1"/>
          <w:lang w:val="en-US"/>
        </w:rPr>
        <w:instrText>issue</w:instrText>
      </w:r>
      <w:r w:rsidR="00EA3B99" w:rsidRPr="0044196C">
        <w:rPr>
          <w:color w:val="000000" w:themeColor="text1"/>
        </w:rPr>
        <w:instrText>" : "28",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"2013", "7" ] ] }, "</w:instrText>
      </w:r>
      <w:r w:rsidR="00EA3B99" w:rsidRPr="0044196C">
        <w:rPr>
          <w:color w:val="000000" w:themeColor="text1"/>
          <w:lang w:val="en-US"/>
        </w:rPr>
        <w:instrText>page</w:instrText>
      </w:r>
      <w:r w:rsidR="00EA3B99" w:rsidRPr="0044196C">
        <w:rPr>
          <w:color w:val="000000" w:themeColor="text1"/>
        </w:rPr>
        <w:instrText>" : "2159-219", "</w:instrText>
      </w:r>
      <w:r w:rsidR="00EA3B99" w:rsidRPr="0044196C">
        <w:rPr>
          <w:color w:val="000000" w:themeColor="text1"/>
          <w:lang w:val="en-US"/>
        </w:rPr>
        <w:instrText>title</w:instrText>
      </w:r>
      <w:r w:rsidR="00EA3B99" w:rsidRPr="0044196C">
        <w:rPr>
          <w:color w:val="000000" w:themeColor="text1"/>
        </w:rPr>
        <w:instrText xml:space="preserve">" : "2013 </w:instrText>
      </w:r>
      <w:r w:rsidR="00EA3B99" w:rsidRPr="0044196C">
        <w:rPr>
          <w:color w:val="000000" w:themeColor="text1"/>
          <w:lang w:val="en-US"/>
        </w:rPr>
        <w:instrText>ESH</w:instrText>
      </w:r>
      <w:r w:rsidR="00EA3B99" w:rsidRPr="0044196C">
        <w:rPr>
          <w:color w:val="000000" w:themeColor="text1"/>
        </w:rPr>
        <w:instrText>/</w:instrText>
      </w:r>
      <w:r w:rsidR="00EA3B99" w:rsidRPr="0044196C">
        <w:rPr>
          <w:color w:val="000000" w:themeColor="text1"/>
          <w:lang w:val="en-US"/>
        </w:rPr>
        <w:instrText>ESC</w:instrText>
      </w:r>
      <w:r w:rsidR="00EA3B99" w:rsidRPr="0044196C">
        <w:rPr>
          <w:color w:val="000000" w:themeColor="text1"/>
        </w:rPr>
        <w:instrText xml:space="preserve"> </w:instrText>
      </w:r>
      <w:r w:rsidR="00EA3B99" w:rsidRPr="0044196C">
        <w:rPr>
          <w:color w:val="000000" w:themeColor="text1"/>
          <w:lang w:val="en-US"/>
        </w:rPr>
        <w:instrText>guidelines</w:instrText>
      </w:r>
      <w:r w:rsidR="00EA3B99" w:rsidRPr="0044196C">
        <w:rPr>
          <w:color w:val="000000" w:themeColor="text1"/>
        </w:rPr>
        <w:instrText xml:space="preserve"> </w:instrText>
      </w:r>
      <w:r w:rsidR="00EA3B99" w:rsidRPr="0044196C">
        <w:rPr>
          <w:color w:val="000000" w:themeColor="text1"/>
          <w:lang w:val="en-US"/>
        </w:rPr>
        <w:instrText>for</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management</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arterial</w:instrText>
      </w:r>
      <w:r w:rsidR="00EA3B99" w:rsidRPr="0044196C">
        <w:rPr>
          <w:color w:val="000000" w:themeColor="text1"/>
        </w:rPr>
        <w:instrText xml:space="preserve"> </w:instrText>
      </w:r>
      <w:r w:rsidR="00EA3B99" w:rsidRPr="0044196C">
        <w:rPr>
          <w:color w:val="000000" w:themeColor="text1"/>
          <w:lang w:val="en-US"/>
        </w:rPr>
        <w:instrText>hypertension</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Task</w:instrText>
      </w:r>
      <w:r w:rsidR="00EA3B99" w:rsidRPr="0044196C">
        <w:rPr>
          <w:color w:val="000000" w:themeColor="text1"/>
        </w:rPr>
        <w:instrText xml:space="preserve"> </w:instrText>
      </w:r>
      <w:r w:rsidR="00EA3B99" w:rsidRPr="0044196C">
        <w:rPr>
          <w:color w:val="000000" w:themeColor="text1"/>
          <w:lang w:val="en-US"/>
        </w:rPr>
        <w:instrText>Force</w:instrText>
      </w:r>
      <w:r w:rsidR="00EA3B99" w:rsidRPr="0044196C">
        <w:rPr>
          <w:color w:val="000000" w:themeColor="text1"/>
        </w:rPr>
        <w:instrText xml:space="preserve"> </w:instrText>
      </w:r>
      <w:r w:rsidR="00EA3B99" w:rsidRPr="0044196C">
        <w:rPr>
          <w:color w:val="000000" w:themeColor="text1"/>
          <w:lang w:val="en-US"/>
        </w:rPr>
        <w:instrText>for</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Management</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Arterial</w:instrText>
      </w:r>
      <w:r w:rsidR="00EA3B99" w:rsidRPr="0044196C">
        <w:rPr>
          <w:color w:val="000000" w:themeColor="text1"/>
        </w:rPr>
        <w:instrText xml:space="preserve"> </w:instrText>
      </w:r>
      <w:r w:rsidR="00EA3B99" w:rsidRPr="0044196C">
        <w:rPr>
          <w:color w:val="000000" w:themeColor="text1"/>
          <w:lang w:val="en-US"/>
        </w:rPr>
        <w:instrText>Hypertension</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European</w:instrText>
      </w:r>
      <w:r w:rsidR="00EA3B99" w:rsidRPr="0044196C">
        <w:rPr>
          <w:color w:val="000000" w:themeColor="text1"/>
        </w:rPr>
        <w:instrText xml:space="preserve"> </w:instrText>
      </w:r>
      <w:r w:rsidR="00EA3B99" w:rsidRPr="0044196C">
        <w:rPr>
          <w:color w:val="000000" w:themeColor="text1"/>
          <w:lang w:val="en-US"/>
        </w:rPr>
        <w:instrText>Society</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Hypertension</w:instrText>
      </w:r>
      <w:r w:rsidR="00EA3B99" w:rsidRPr="0044196C">
        <w:rPr>
          <w:color w:val="000000" w:themeColor="text1"/>
        </w:rPr>
        <w:instrText xml:space="preserve"> (</w:instrText>
      </w:r>
      <w:r w:rsidR="00EA3B99" w:rsidRPr="0044196C">
        <w:rPr>
          <w:color w:val="000000" w:themeColor="text1"/>
          <w:lang w:val="en-US"/>
        </w:rPr>
        <w:instrText>ESH</w:instrText>
      </w:r>
      <w:r w:rsidR="00EA3B99" w:rsidRPr="0044196C">
        <w:rPr>
          <w:color w:val="000000" w:themeColor="text1"/>
        </w:rPr>
        <w:instrText xml:space="preserve">) </w:instrText>
      </w:r>
      <w:r w:rsidR="00EA3B99" w:rsidRPr="0044196C">
        <w:rPr>
          <w:color w:val="000000" w:themeColor="text1"/>
          <w:lang w:val="en-US"/>
        </w:rPr>
        <w:instrText>and</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European</w:instrText>
      </w:r>
      <w:r w:rsidR="00EA3B99" w:rsidRPr="0044196C">
        <w:rPr>
          <w:color w:val="000000" w:themeColor="text1"/>
        </w:rPr>
        <w:instrText xml:space="preserve"> </w:instrText>
      </w:r>
      <w:r w:rsidR="00EA3B99" w:rsidRPr="0044196C">
        <w:rPr>
          <w:color w:val="000000" w:themeColor="text1"/>
          <w:lang w:val="en-US"/>
        </w:rPr>
        <w:instrText>Society</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Cardiology</w:instrText>
      </w:r>
      <w:r w:rsidR="00EA3B99" w:rsidRPr="0044196C">
        <w:rPr>
          <w:color w:val="000000" w:themeColor="text1"/>
        </w:rPr>
        <w:instrText xml:space="preserve"> (</w:instrText>
      </w:r>
      <w:r w:rsidR="00EA3B99" w:rsidRPr="0044196C">
        <w:rPr>
          <w:color w:val="000000" w:themeColor="text1"/>
          <w:lang w:val="en-US"/>
        </w:rPr>
        <w:instrText>ESC</w:instrText>
      </w:r>
      <w:r w:rsidR="00EA3B99" w:rsidRPr="0044196C">
        <w:rPr>
          <w:color w:val="000000" w:themeColor="text1"/>
        </w:rPr>
        <w:instrText>).",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"34"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=3</w:instrText>
      </w:r>
      <w:r w:rsidR="00EA3B99" w:rsidRPr="0044196C">
        <w:rPr>
          <w:color w:val="000000" w:themeColor="text1"/>
          <w:lang w:val="en-US"/>
        </w:rPr>
        <w:instrText>a</w:instrText>
      </w:r>
      <w:r w:rsidR="00EA3B99" w:rsidRPr="0044196C">
        <w:rPr>
          <w:color w:val="000000" w:themeColor="text1"/>
        </w:rPr>
        <w:instrText>63</w:instrText>
      </w:r>
      <w:r w:rsidR="00EA3B99" w:rsidRPr="0044196C">
        <w:rPr>
          <w:color w:val="000000" w:themeColor="text1"/>
          <w:lang w:val="en-US"/>
        </w:rPr>
        <w:instrText>d</w:instrText>
      </w:r>
      <w:r w:rsidR="00EA3B99" w:rsidRPr="0044196C">
        <w:rPr>
          <w:color w:val="000000" w:themeColor="text1"/>
        </w:rPr>
        <w:instrText>721-</w:instrText>
      </w:r>
      <w:r w:rsidR="00EA3B99" w:rsidRPr="0044196C">
        <w:rPr>
          <w:color w:val="000000" w:themeColor="text1"/>
          <w:lang w:val="en-US"/>
        </w:rPr>
        <w:instrText>cff</w:instrText>
      </w:r>
      <w:r w:rsidR="00EA3B99" w:rsidRPr="0044196C">
        <w:rPr>
          <w:color w:val="000000" w:themeColor="text1"/>
        </w:rPr>
        <w:instrText>4-4</w:instrText>
      </w:r>
      <w:r w:rsidR="00EA3B99" w:rsidRPr="0044196C">
        <w:rPr>
          <w:color w:val="000000" w:themeColor="text1"/>
          <w:lang w:val="en-US"/>
        </w:rPr>
        <w:instrText>b</w:instrText>
      </w:r>
      <w:r w:rsidR="00EA3B99" w:rsidRPr="0044196C">
        <w:rPr>
          <w:color w:val="000000" w:themeColor="text1"/>
        </w:rPr>
        <w:instrText>35-</w:instrText>
      </w:r>
      <w:r w:rsidR="00EA3B99" w:rsidRPr="0044196C">
        <w:rPr>
          <w:color w:val="000000" w:themeColor="text1"/>
          <w:lang w:val="en-US"/>
        </w:rPr>
        <w:instrText>b</w:instrText>
      </w:r>
      <w:r w:rsidR="00EA3B99" w:rsidRPr="0044196C">
        <w:rPr>
          <w:color w:val="000000" w:themeColor="text1"/>
        </w:rPr>
        <w:instrText>0</w:instrText>
      </w:r>
      <w:r w:rsidR="00EA3B99" w:rsidRPr="0044196C">
        <w:rPr>
          <w:color w:val="000000" w:themeColor="text1"/>
          <w:lang w:val="en-US"/>
        </w:rPr>
        <w:instrText>fa</w:instrText>
      </w:r>
      <w:r w:rsidR="00EA3B99" w:rsidRPr="0044196C">
        <w:rPr>
          <w:color w:val="000000" w:themeColor="text1"/>
        </w:rPr>
        <w:instrText>-75</w:instrText>
      </w:r>
      <w:r w:rsidR="00EA3B99" w:rsidRPr="0044196C">
        <w:rPr>
          <w:color w:val="000000" w:themeColor="text1"/>
          <w:lang w:val="en-US"/>
        </w:rPr>
        <w:instrText>b</w:instrText>
      </w:r>
      <w:r w:rsidR="00EA3B99" w:rsidRPr="0044196C">
        <w:rPr>
          <w:color w:val="000000" w:themeColor="text1"/>
        </w:rPr>
        <w:instrText>89</w:instrText>
      </w:r>
      <w:r w:rsidR="00EA3B99" w:rsidRPr="0044196C">
        <w:rPr>
          <w:color w:val="000000" w:themeColor="text1"/>
          <w:lang w:val="en-US"/>
        </w:rPr>
        <w:instrText>cd</w:instrText>
      </w:r>
      <w:r w:rsidR="00EA3B99" w:rsidRPr="0044196C">
        <w:rPr>
          <w:color w:val="000000" w:themeColor="text1"/>
        </w:rPr>
        <w:instrText>65</w:instrText>
      </w:r>
      <w:r w:rsidR="00EA3B99" w:rsidRPr="0044196C">
        <w:rPr>
          <w:color w:val="000000" w:themeColor="text1"/>
          <w:lang w:val="en-US"/>
        </w:rPr>
        <w:instrText>fdf</w:instrText>
      </w:r>
      <w:r w:rsidR="00EA3B99" w:rsidRPr="0044196C">
        <w:rPr>
          <w:color w:val="000000" w:themeColor="text1"/>
        </w:rPr>
        <w:instrText>" ] } ], "</w:instrText>
      </w:r>
      <w:r w:rsidR="00EA3B99" w:rsidRPr="0044196C">
        <w:rPr>
          <w:color w:val="000000" w:themeColor="text1"/>
          <w:lang w:val="en-US"/>
        </w:rPr>
        <w:instrText>mendeley</w:instrText>
      </w:r>
      <w:r w:rsidR="00EA3B99" w:rsidRPr="0044196C">
        <w:rPr>
          <w:color w:val="000000" w:themeColor="text1"/>
        </w:rPr>
        <w:instrText>" : { "</w:instrText>
      </w:r>
      <w:r w:rsidR="00EA3B99" w:rsidRPr="0044196C">
        <w:rPr>
          <w:color w:val="000000" w:themeColor="text1"/>
          <w:lang w:val="en-US"/>
        </w:rPr>
        <w:instrText>previouslyFormattedCitation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0427\</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 xml:space="preserve">0440., 2010; </w:instrText>
      </w:r>
      <w:r w:rsidR="00EA3B99" w:rsidRPr="0044196C">
        <w:rPr>
          <w:color w:val="000000" w:themeColor="text1"/>
          <w:lang w:val="en-US"/>
        </w:rPr>
        <w:instrText>Mancia</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0440., 2013]" }, "</w:instrText>
      </w:r>
      <w:r w:rsidR="00EA3B99" w:rsidRPr="0044196C">
        <w:rPr>
          <w:color w:val="000000" w:themeColor="text1"/>
          <w:lang w:val="en-US"/>
        </w:rPr>
        <w:instrText>properties</w:instrText>
      </w:r>
      <w:r w:rsidR="00EA3B99" w:rsidRPr="0044196C">
        <w:rPr>
          <w:color w:val="000000" w:themeColor="text1"/>
        </w:rPr>
        <w:instrText>" : { "</w:instrText>
      </w:r>
      <w:r w:rsidR="00EA3B99" w:rsidRPr="0044196C">
        <w:rPr>
          <w:color w:val="000000" w:themeColor="text1"/>
          <w:lang w:val="en-US"/>
        </w:rPr>
        <w:instrText>noteIndex</w:instrText>
      </w:r>
      <w:r w:rsidR="00EA3B99" w:rsidRPr="0044196C">
        <w:rPr>
          <w:color w:val="000000" w:themeColor="text1"/>
        </w:rPr>
        <w:instrText>" : 0 }, "</w:instrText>
      </w:r>
      <w:r w:rsidR="00EA3B99" w:rsidRPr="0044196C">
        <w:rPr>
          <w:color w:val="000000" w:themeColor="text1"/>
          <w:lang w:val="en-US"/>
        </w:rPr>
        <w:instrText>schema</w:instrText>
      </w:r>
      <w:r w:rsidR="00EA3B99" w:rsidRPr="0044196C">
        <w:rPr>
          <w:color w:val="000000" w:themeColor="text1"/>
        </w:rPr>
        <w:instrText>" : "</w:instrText>
      </w:r>
      <w:r w:rsidR="00EA3B99" w:rsidRPr="0044196C">
        <w:rPr>
          <w:color w:val="000000" w:themeColor="text1"/>
          <w:lang w:val="en-US"/>
        </w:rPr>
        <w:instrText>https</w:instrText>
      </w:r>
      <w:r w:rsidR="00EA3B99" w:rsidRPr="0044196C">
        <w:rPr>
          <w:color w:val="000000" w:themeColor="text1"/>
        </w:rPr>
        <w:instrText>://</w:instrText>
      </w:r>
      <w:r w:rsidR="00EA3B99" w:rsidRPr="0044196C">
        <w:rPr>
          <w:color w:val="000000" w:themeColor="text1"/>
          <w:lang w:val="en-US"/>
        </w:rPr>
        <w:instrText>github</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style</w:instrText>
      </w:r>
      <w:r w:rsidR="00EA3B99" w:rsidRPr="0044196C">
        <w:rPr>
          <w:color w:val="000000" w:themeColor="text1"/>
        </w:rPr>
        <w:instrText>-</w:instrText>
      </w:r>
      <w:r w:rsidR="00EA3B99" w:rsidRPr="0044196C">
        <w:rPr>
          <w:color w:val="000000" w:themeColor="text1"/>
          <w:lang w:val="en-US"/>
        </w:rPr>
        <w:instrText>language</w:instrText>
      </w:r>
      <w:r w:rsidR="00EA3B99" w:rsidRPr="0044196C">
        <w:rPr>
          <w:color w:val="000000" w:themeColor="text1"/>
        </w:rPr>
        <w:instrText>/</w:instrText>
      </w:r>
      <w:r w:rsidR="00EA3B99" w:rsidRPr="0044196C">
        <w:rPr>
          <w:color w:val="000000" w:themeColor="text1"/>
          <w:lang w:val="en-US"/>
        </w:rPr>
        <w:instrText>schema</w:instrText>
      </w:r>
      <w:r w:rsidR="00EA3B99" w:rsidRPr="0044196C">
        <w:rPr>
          <w:color w:val="000000" w:themeColor="text1"/>
        </w:rPr>
        <w:instrText>/</w:instrText>
      </w:r>
      <w:r w:rsidR="00EA3B99" w:rsidRPr="0044196C">
        <w:rPr>
          <w:color w:val="000000" w:themeColor="text1"/>
          <w:lang w:val="en-US"/>
        </w:rPr>
        <w:instrText>raw</w:instrText>
      </w:r>
      <w:r w:rsidR="00EA3B99" w:rsidRPr="0044196C">
        <w:rPr>
          <w:color w:val="000000" w:themeColor="text1"/>
        </w:rPr>
        <w:instrText>/</w:instrText>
      </w:r>
      <w:r w:rsidR="00EA3B99" w:rsidRPr="0044196C">
        <w:rPr>
          <w:color w:val="000000" w:themeColor="text1"/>
          <w:lang w:val="en-US"/>
        </w:rPr>
        <w:instrText>master</w:instrText>
      </w:r>
      <w:r w:rsidR="00EA3B99" w:rsidRPr="0044196C">
        <w:rPr>
          <w:color w:val="000000" w:themeColor="text1"/>
        </w:rPr>
        <w:instrText>/</w:instrText>
      </w:r>
      <w:r w:rsidR="00EA3B99" w:rsidRPr="0044196C">
        <w:rPr>
          <w:color w:val="000000" w:themeColor="text1"/>
          <w:lang w:val="en-US"/>
        </w:rPr>
        <w:instrText>csl</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json</w:instrText>
      </w:r>
      <w:r w:rsidR="00EA3B99" w:rsidRPr="0044196C">
        <w:rPr>
          <w:color w:val="000000" w:themeColor="text1"/>
        </w:rPr>
        <w:instrText>" }</w:instrText>
      </w:r>
      <w:r w:rsidR="009D7C63" w:rsidRPr="0044196C">
        <w:rPr>
          <w:color w:val="000000" w:themeColor="text1"/>
          <w:lang w:val="en-US"/>
        </w:rPr>
        <w:fldChar w:fldCharType="separate"/>
      </w:r>
      <w:r w:rsidR="00EA3B99" w:rsidRPr="0044196C">
        <w:rPr>
          <w:noProof/>
          <w:color w:val="000000" w:themeColor="text1"/>
        </w:rPr>
        <w:t xml:space="preserve">[Чазова и др., 2010; </w:t>
      </w:r>
      <w:r w:rsidR="00EA3B99" w:rsidRPr="0044196C">
        <w:rPr>
          <w:noProof/>
          <w:color w:val="000000" w:themeColor="text1"/>
          <w:lang w:val="en-US"/>
        </w:rPr>
        <w:t>Mancia</w:t>
      </w:r>
      <w:r w:rsidR="00EA3B99" w:rsidRPr="0044196C">
        <w:rPr>
          <w:noProof/>
          <w:color w:val="000000" w:themeColor="text1"/>
        </w:rPr>
        <w:t xml:space="preserve"> и др., 2013]</w:t>
      </w:r>
      <w:r w:rsidR="009D7C63" w:rsidRPr="0044196C">
        <w:rPr>
          <w:color w:val="000000" w:themeColor="text1"/>
        </w:rPr>
        <w:fldChar w:fldCharType="end"/>
      </w:r>
      <w:r w:rsidR="00261282" w:rsidRPr="0044196C">
        <w:rPr>
          <w:color w:val="000000" w:themeColor="text1"/>
        </w:rPr>
        <w:t>.</w:t>
      </w:r>
    </w:p>
    <w:p w:rsidR="00F80F66" w:rsidRPr="0044196C" w:rsidRDefault="00F80F66" w:rsidP="00F80F66">
      <w:pPr>
        <w:rPr>
          <w:color w:val="000000" w:themeColor="text1"/>
        </w:rPr>
      </w:pPr>
      <w:r w:rsidRPr="0044196C">
        <w:rPr>
          <w:b/>
          <w:color w:val="000000" w:themeColor="text1"/>
        </w:rPr>
        <w:t>Среднедневной</w:t>
      </w:r>
      <w:r w:rsidRPr="0044196C">
        <w:rPr>
          <w:color w:val="000000" w:themeColor="text1"/>
        </w:rPr>
        <w:t xml:space="preserve"> (среднее значение АД за период бодрствования) и </w:t>
      </w:r>
      <w:r w:rsidRPr="0044196C">
        <w:rPr>
          <w:b/>
          <w:color w:val="000000" w:themeColor="text1"/>
        </w:rPr>
        <w:t>средненочной</w:t>
      </w:r>
      <w:r w:rsidR="00B971C6" w:rsidRPr="0044196C">
        <w:rPr>
          <w:b/>
          <w:color w:val="000000" w:themeColor="text1"/>
        </w:rPr>
        <w:t xml:space="preserve"> </w:t>
      </w:r>
      <w:r w:rsidRPr="0044196C">
        <w:rPr>
          <w:color w:val="000000" w:themeColor="text1"/>
        </w:rPr>
        <w:t xml:space="preserve">(среднее значение АД за период ночного сна) показатели СМАДболее воспроизводимы по сравнению с данными разовых измерений АД врачом и более четко коррелируют с неблагоприятным прогнозом со стороны почек и сердечно-сосудистой системы []. </w:t>
      </w:r>
    </w:p>
    <w:p w:rsidR="00F80F66" w:rsidRPr="0044196C" w:rsidRDefault="00F80F66" w:rsidP="00F80F66">
      <w:pPr>
        <w:rPr>
          <w:color w:val="000000" w:themeColor="text1"/>
        </w:rPr>
      </w:pPr>
      <w:r w:rsidRPr="0044196C">
        <w:rPr>
          <w:b/>
          <w:color w:val="000000" w:themeColor="text1"/>
        </w:rPr>
        <w:t>Степень ночного снижения</w:t>
      </w:r>
      <w:r w:rsidRPr="0044196C">
        <w:rPr>
          <w:color w:val="000000" w:themeColor="text1"/>
        </w:rPr>
        <w:t xml:space="preserve"> (СНС) АД рассчитывается по формуле:</w:t>
      </w:r>
    </w:p>
    <w:p w:rsidR="00F80F66" w:rsidRPr="0044196C" w:rsidRDefault="00F80F66" w:rsidP="00F80F66">
      <w:pPr>
        <w:jc w:val="center"/>
        <w:rPr>
          <w:color w:val="000000" w:themeColor="text1"/>
        </w:rPr>
      </w:pPr>
      <w:r w:rsidRPr="0044196C">
        <w:rPr>
          <w:color w:val="000000" w:themeColor="text1"/>
        </w:rPr>
        <w:t>(АД среднедневное – АД средненочное) х 100% / АД среднедневное.</w:t>
      </w:r>
    </w:p>
    <w:p w:rsidR="00F80F66" w:rsidRPr="0044196C" w:rsidRDefault="00F80F66" w:rsidP="00F80F66">
      <w:pPr>
        <w:rPr>
          <w:color w:val="000000" w:themeColor="text1"/>
        </w:rPr>
      </w:pPr>
      <w:r w:rsidRPr="0044196C">
        <w:rPr>
          <w:color w:val="000000" w:themeColor="text1"/>
        </w:rPr>
        <w:t>У здоровых лиц в ночные часы отмечается физиологическое снижение АД – на 10</w:t>
      </w:r>
      <w:r w:rsidRPr="0044196C">
        <w:rPr>
          <w:color w:val="000000" w:themeColor="text1"/>
        </w:rPr>
        <w:noBreakHyphen/>
        <w:t xml:space="preserve">22% от среднедневного уровня. Недостаточная СНС (&lt;10%) встречается с высокой частотой на поздних стадиях ХБП и связана с повышенным риском ее прогрессирования </w:t>
      </w:r>
      <w:r w:rsidRPr="0044196C">
        <w:rPr>
          <w:color w:val="000000" w:themeColor="text1"/>
        </w:rPr>
        <w:lastRenderedPageBreak/>
        <w:t>[]. Избыточное снижение АД в ночные часы (&gt;22%) также является неблагоприятным вариантом нарушения суточного ритма, поскольку связано с развитием ночной гипотонии, приводящей к гипоксическому повреждению сердца, головного мозга, почек и вызывает  компенсаторную гиперактивацию вазопрессорных механизмов в п</w:t>
      </w:r>
      <w:r w:rsidR="000608D8" w:rsidRPr="0044196C">
        <w:rPr>
          <w:color w:val="000000" w:themeColor="text1"/>
        </w:rPr>
        <w:t xml:space="preserve">ериод бодрствования. </w:t>
      </w:r>
      <w:r w:rsidR="00B37505" w:rsidRPr="0044196C">
        <w:rPr>
          <w:color w:val="000000" w:themeColor="text1"/>
        </w:rPr>
        <w:t>Д</w:t>
      </w:r>
      <w:r w:rsidRPr="0044196C">
        <w:rPr>
          <w:color w:val="000000" w:themeColor="text1"/>
        </w:rPr>
        <w:t>ополнительны</w:t>
      </w:r>
      <w:r w:rsidR="00B37505" w:rsidRPr="0044196C">
        <w:rPr>
          <w:color w:val="000000" w:themeColor="text1"/>
        </w:rPr>
        <w:t>е</w:t>
      </w:r>
      <w:r w:rsidRPr="0044196C">
        <w:rPr>
          <w:color w:val="000000" w:themeColor="text1"/>
        </w:rPr>
        <w:t xml:space="preserve"> показател</w:t>
      </w:r>
      <w:r w:rsidR="00B37505" w:rsidRPr="0044196C">
        <w:rPr>
          <w:color w:val="000000" w:themeColor="text1"/>
        </w:rPr>
        <w:t>и</w:t>
      </w:r>
      <w:r w:rsidRPr="0044196C">
        <w:rPr>
          <w:color w:val="000000" w:themeColor="text1"/>
        </w:rPr>
        <w:t xml:space="preserve"> вариабельности АД (стандартн</w:t>
      </w:r>
      <w:r w:rsidR="00B37505" w:rsidRPr="0044196C">
        <w:rPr>
          <w:color w:val="000000" w:themeColor="text1"/>
        </w:rPr>
        <w:t>ое</w:t>
      </w:r>
      <w:r w:rsidRPr="0044196C">
        <w:rPr>
          <w:color w:val="000000" w:themeColor="text1"/>
        </w:rPr>
        <w:t xml:space="preserve"> отклонени</w:t>
      </w:r>
      <w:r w:rsidR="00B37505" w:rsidRPr="0044196C">
        <w:rPr>
          <w:color w:val="000000" w:themeColor="text1"/>
        </w:rPr>
        <w:t>е</w:t>
      </w:r>
      <w:r w:rsidRPr="0044196C">
        <w:rPr>
          <w:color w:val="000000" w:themeColor="text1"/>
        </w:rPr>
        <w:t xml:space="preserve"> от средних значений, скорость утреннего подъема) у пациентов с ХБП </w:t>
      </w:r>
      <w:r w:rsidR="00B37505" w:rsidRPr="0044196C">
        <w:rPr>
          <w:color w:val="000000" w:themeColor="text1"/>
        </w:rPr>
        <w:t xml:space="preserve">могут свидетельствовать о гиперактивации симпато-адреналовой системы, особенно характерной для поздних стадий ХБП, однако их клиническое и прогностическое значение </w:t>
      </w:r>
      <w:r w:rsidRPr="0044196C">
        <w:rPr>
          <w:color w:val="000000" w:themeColor="text1"/>
        </w:rPr>
        <w:t>требу</w:t>
      </w:r>
      <w:r w:rsidR="00B37505" w:rsidRPr="0044196C">
        <w:rPr>
          <w:color w:val="000000" w:themeColor="text1"/>
        </w:rPr>
        <w:t>е</w:t>
      </w:r>
      <w:r w:rsidRPr="0044196C">
        <w:rPr>
          <w:color w:val="000000" w:themeColor="text1"/>
        </w:rPr>
        <w:t>т уточнения.</w:t>
      </w:r>
    </w:p>
    <w:p w:rsidR="003D0D59" w:rsidRPr="0044196C" w:rsidRDefault="003D0D59" w:rsidP="009671E0">
      <w:pPr>
        <w:ind w:firstLine="851"/>
        <w:rPr>
          <w:color w:val="000000" w:themeColor="text1"/>
          <w:sz w:val="2"/>
        </w:rPr>
      </w:pPr>
    </w:p>
    <w:p w:rsidR="008C154F" w:rsidRPr="0044196C" w:rsidRDefault="008C154F" w:rsidP="008C154F">
      <w:pPr>
        <w:pStyle w:val="af4"/>
        <w:rPr>
          <w:color w:val="000000" w:themeColor="text1"/>
        </w:rPr>
      </w:pPr>
      <w:bookmarkStart w:id="29" w:name="_Ref278787564"/>
      <w:r w:rsidRPr="0044196C">
        <w:rPr>
          <w:color w:val="000000" w:themeColor="text1"/>
        </w:rPr>
        <w:t xml:space="preserve">Таблица </w:t>
      </w:r>
      <w:r w:rsidR="009D7C63" w:rsidRPr="0044196C">
        <w:rPr>
          <w:color w:val="000000" w:themeColor="text1"/>
        </w:rPr>
        <w:fldChar w:fldCharType="begin"/>
      </w:r>
      <w:r w:rsidR="009D7C63" w:rsidRPr="0044196C">
        <w:rPr>
          <w:color w:val="000000" w:themeColor="text1"/>
        </w:rPr>
        <w:instrText xml:space="preserve"> SEQ Таблица \* ARABIC </w:instrText>
      </w:r>
      <w:r w:rsidR="009D7C63" w:rsidRPr="0044196C">
        <w:rPr>
          <w:color w:val="000000" w:themeColor="text1"/>
        </w:rPr>
        <w:fldChar w:fldCharType="separate"/>
      </w:r>
      <w:r w:rsidR="00DF40EA" w:rsidRPr="0044196C">
        <w:rPr>
          <w:noProof/>
          <w:color w:val="000000" w:themeColor="text1"/>
        </w:rPr>
        <w:t>6</w:t>
      </w:r>
      <w:r w:rsidR="009D7C63" w:rsidRPr="0044196C">
        <w:rPr>
          <w:color w:val="000000" w:themeColor="text1"/>
        </w:rPr>
        <w:fldChar w:fldCharType="end"/>
      </w:r>
      <w:bookmarkEnd w:id="29"/>
    </w:p>
    <w:p w:rsidR="008636CD" w:rsidRPr="0044196C" w:rsidRDefault="009671E0" w:rsidP="00E37083">
      <w:pPr>
        <w:pStyle w:val="af4"/>
        <w:rPr>
          <w:color w:val="000000" w:themeColor="text1"/>
          <w:lang w:val="en-US"/>
        </w:rPr>
      </w:pPr>
      <w:r w:rsidRPr="0044196C">
        <w:rPr>
          <w:color w:val="000000" w:themeColor="text1"/>
        </w:rPr>
        <w:t>Критерии</w:t>
      </w:r>
      <w:r w:rsidR="002D6D50" w:rsidRPr="0044196C">
        <w:rPr>
          <w:color w:val="000000" w:themeColor="text1"/>
        </w:rPr>
        <w:t>диагностики АГ по данным различных методов измерения</w:t>
      </w:r>
      <w:r w:rsidRPr="0044196C">
        <w:rPr>
          <w:color w:val="000000" w:themeColor="text1"/>
        </w:rPr>
        <w:t xml:space="preserve"> АД</w:t>
      </w:r>
      <w:r w:rsidR="009D7C63" w:rsidRPr="0044196C">
        <w:rPr>
          <w:color w:val="000000" w:themeColor="text1"/>
          <w:lang w:val="en-US"/>
        </w:rPr>
        <w:fldChar w:fldCharType="begin" w:fldLock="1"/>
      </w:r>
      <w:r w:rsidR="00EA3B99" w:rsidRPr="0044196C">
        <w:rPr>
          <w:color w:val="000000" w:themeColor="text1"/>
          <w:lang w:val="en-US"/>
        </w:rPr>
        <w:instrText>ADDIN</w:instrText>
      </w:r>
      <w:r w:rsidR="00EA3B99" w:rsidRPr="0044196C">
        <w:rPr>
          <w:color w:val="000000" w:themeColor="text1"/>
        </w:rPr>
        <w:instrText xml:space="preserve"> </w:instrText>
      </w:r>
      <w:r w:rsidR="00EA3B99" w:rsidRPr="0044196C">
        <w:rPr>
          <w:color w:val="000000" w:themeColor="text1"/>
          <w:lang w:val="en-US"/>
        </w:rPr>
        <w:instrText>CSL</w:instrText>
      </w:r>
      <w:r w:rsidR="00EA3B99" w:rsidRPr="0044196C">
        <w:rPr>
          <w:color w:val="000000" w:themeColor="text1"/>
        </w:rPr>
        <w:instrText>_</w:instrText>
      </w:r>
      <w:r w:rsidR="00EA3B99" w:rsidRPr="0044196C">
        <w:rPr>
          <w:color w:val="000000" w:themeColor="text1"/>
          <w:lang w:val="en-US"/>
        </w:rPr>
        <w:instrText>CITATION</w:instrText>
      </w:r>
      <w:r w:rsidR="00EA3B99" w:rsidRPr="0044196C">
        <w:rPr>
          <w:color w:val="000000" w:themeColor="text1"/>
        </w:rPr>
        <w:instrText xml:space="preserve"> { "</w:instrText>
      </w:r>
      <w:r w:rsidR="00EA3B99" w:rsidRPr="0044196C">
        <w:rPr>
          <w:color w:val="000000" w:themeColor="text1"/>
          <w:lang w:val="en-US"/>
        </w:rPr>
        <w:instrText>citationItems</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0427\</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0418.\</w:instrText>
      </w:r>
      <w:r w:rsidR="00EA3B99" w:rsidRPr="0044196C">
        <w:rPr>
          <w:color w:val="000000" w:themeColor="text1"/>
          <w:lang w:val="en-US"/>
        </w:rPr>
        <w:instrText>u</w:instrText>
      </w:r>
      <w:r w:rsidR="00EA3B99" w:rsidRPr="0044196C">
        <w:rPr>
          <w:color w:val="000000" w:themeColor="text1"/>
        </w:rPr>
        <w:instrText>0415.",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0420\</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0413.",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0439\</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0410.",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0414.\</w:instrText>
      </w:r>
      <w:r w:rsidR="00EA3B99" w:rsidRPr="0044196C">
        <w:rPr>
          <w:color w:val="000000" w:themeColor="text1"/>
          <w:lang w:val="en-US"/>
        </w:rPr>
        <w:instrText>u</w:instrText>
      </w:r>
      <w:r w:rsidR="00EA3B99" w:rsidRPr="0044196C">
        <w:rPr>
          <w:color w:val="000000" w:themeColor="text1"/>
        </w:rPr>
        <w:instrText>0412.",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0421\</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"2010" ] ] }, "</w:instrText>
      </w:r>
      <w:r w:rsidR="00EA3B99" w:rsidRPr="0044196C">
        <w:rPr>
          <w:color w:val="000000" w:themeColor="text1"/>
          <w:lang w:val="en-US"/>
        </w:rPr>
        <w:instrText>page</w:instrText>
      </w:r>
      <w:r w:rsidR="00EA3B99" w:rsidRPr="0044196C">
        <w:rPr>
          <w:color w:val="000000" w:themeColor="text1"/>
        </w:rPr>
        <w:instrText>" : "5-26",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u</w:instrText>
      </w:r>
      <w:r w:rsidR="00EA3B99" w:rsidRPr="0044196C">
        <w:rPr>
          <w:color w:val="000000" w:themeColor="text1"/>
        </w:rPr>
        <w:instrText>0414\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0435 \</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0439 \</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0437\</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0420\</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0420\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0439\</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0446\</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0449\</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w:instrText>
      </w:r>
      <w:r w:rsidR="00EA3B99" w:rsidRPr="0044196C">
        <w:rPr>
          <w:color w:val="000000" w:themeColor="text1"/>
          <w:lang w:val="en-US"/>
        </w:rPr>
        <w:instrText>c</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0439 \</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f</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0412\</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0439\</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0443\</w:instrText>
      </w:r>
      <w:r w:rsidR="00EA3B99" w:rsidRPr="0044196C">
        <w:rPr>
          <w:color w:val="000000" w:themeColor="text1"/>
          <w:lang w:val="en-US"/>
        </w:rPr>
        <w:instrText>u</w:instrText>
      </w:r>
      <w:r w:rsidR="00EA3B99" w:rsidRPr="0044196C">
        <w:rPr>
          <w:color w:val="000000" w:themeColor="text1"/>
        </w:rPr>
        <w:instrText>0447\</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d</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0431\</w:instrText>
      </w:r>
      <w:r w:rsidR="00EA3B99" w:rsidRPr="0044196C">
        <w:rPr>
          <w:color w:val="000000" w:themeColor="text1"/>
          <w:lang w:val="en-US"/>
        </w:rPr>
        <w:instrText>u</w:instrText>
      </w:r>
      <w:r w:rsidR="00EA3B99" w:rsidRPr="0044196C">
        <w:rPr>
          <w:color w:val="000000" w:themeColor="text1"/>
        </w:rPr>
        <w:instrText>0449\</w:instrText>
      </w:r>
      <w:r w:rsidR="00EA3B99" w:rsidRPr="0044196C">
        <w:rPr>
          <w:color w:val="000000" w:themeColor="text1"/>
          <w:lang w:val="en-US"/>
        </w:rPr>
        <w:instrText>u</w:instrText>
      </w:r>
      <w:r w:rsidR="00EA3B99" w:rsidRPr="0044196C">
        <w:rPr>
          <w:color w:val="000000" w:themeColor="text1"/>
        </w:rPr>
        <w:instrText>0435\</w:instrText>
      </w:r>
      <w:r w:rsidR="00EA3B99" w:rsidRPr="0044196C">
        <w:rPr>
          <w:color w:val="000000" w:themeColor="text1"/>
          <w:lang w:val="en-US"/>
        </w:rPr>
        <w:instrText>u</w:instrText>
      </w:r>
      <w:r w:rsidR="00EA3B99" w:rsidRPr="0044196C">
        <w:rPr>
          <w:color w:val="000000" w:themeColor="text1"/>
        </w:rPr>
        <w:instrText>0441\</w:instrText>
      </w:r>
      <w:r w:rsidR="00EA3B99" w:rsidRPr="0044196C">
        <w:rPr>
          <w:color w:val="000000" w:themeColor="text1"/>
          <w:lang w:val="en-US"/>
        </w:rPr>
        <w:instrText>u</w:instrText>
      </w:r>
      <w:r w:rsidR="00EA3B99" w:rsidRPr="0044196C">
        <w:rPr>
          <w:color w:val="000000" w:themeColor="text1"/>
        </w:rPr>
        <w:instrText>0442\</w:instrText>
      </w:r>
      <w:r w:rsidR="00EA3B99" w:rsidRPr="0044196C">
        <w:rPr>
          <w:color w:val="000000" w:themeColor="text1"/>
          <w:lang w:val="en-US"/>
        </w:rPr>
        <w:instrText>u</w:instrText>
      </w:r>
      <w:r w:rsidR="00EA3B99" w:rsidRPr="0044196C">
        <w:rPr>
          <w:color w:val="000000" w:themeColor="text1"/>
        </w:rPr>
        <w:instrText>0432\</w:instrText>
      </w:r>
      <w:r w:rsidR="00EA3B99" w:rsidRPr="0044196C">
        <w:rPr>
          <w:color w:val="000000" w:themeColor="text1"/>
          <w:lang w:val="en-US"/>
        </w:rPr>
        <w:instrText>u</w:instrText>
      </w:r>
      <w:r w:rsidR="00EA3B99" w:rsidRPr="0044196C">
        <w:rPr>
          <w:color w:val="000000" w:themeColor="text1"/>
        </w:rPr>
        <w:instrText>0430 \</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0430\</w:instrText>
      </w:r>
      <w:r w:rsidR="00EA3B99" w:rsidRPr="0044196C">
        <w:rPr>
          <w:color w:val="000000" w:themeColor="text1"/>
          <w:lang w:val="en-US"/>
        </w:rPr>
        <w:instrText>u</w:instrText>
      </w:r>
      <w:r w:rsidR="00EA3B99" w:rsidRPr="0044196C">
        <w:rPr>
          <w:color w:val="000000" w:themeColor="text1"/>
        </w:rPr>
        <w:instrText>0440\</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0438\</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b</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0433\</w:instrText>
      </w:r>
      <w:r w:rsidR="00EA3B99" w:rsidRPr="0044196C">
        <w:rPr>
          <w:color w:val="000000" w:themeColor="text1"/>
          <w:lang w:val="en-US"/>
        </w:rPr>
        <w:instrText>u</w:instrText>
      </w:r>
      <w:r w:rsidR="00EA3B99" w:rsidRPr="0044196C">
        <w:rPr>
          <w:color w:val="000000" w:themeColor="text1"/>
        </w:rPr>
        <w:instrText>043</w:instrText>
      </w:r>
      <w:r w:rsidR="00EA3B99" w:rsidRPr="0044196C">
        <w:rPr>
          <w:color w:val="000000" w:themeColor="text1"/>
          <w:lang w:val="en-US"/>
        </w:rPr>
        <w:instrText>e</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0432)",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"3"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=1</w:instrText>
      </w:r>
      <w:r w:rsidR="00EA3B99" w:rsidRPr="0044196C">
        <w:rPr>
          <w:color w:val="000000" w:themeColor="text1"/>
          <w:lang w:val="en-US"/>
        </w:rPr>
        <w:instrText>b</w:instrText>
      </w:r>
      <w:r w:rsidR="00EA3B99" w:rsidRPr="0044196C">
        <w:rPr>
          <w:color w:val="000000" w:themeColor="text1"/>
        </w:rPr>
        <w:instrText>81</w:instrText>
      </w:r>
      <w:r w:rsidR="00EA3B99" w:rsidRPr="0044196C">
        <w:rPr>
          <w:color w:val="000000" w:themeColor="text1"/>
          <w:lang w:val="en-US"/>
        </w:rPr>
        <w:instrText>a</w:instrText>
      </w:r>
      <w:r w:rsidR="00EA3B99" w:rsidRPr="0044196C">
        <w:rPr>
          <w:color w:val="000000" w:themeColor="text1"/>
        </w:rPr>
        <w:instrText>91</w:instrText>
      </w:r>
      <w:r w:rsidR="00EA3B99" w:rsidRPr="0044196C">
        <w:rPr>
          <w:color w:val="000000" w:themeColor="text1"/>
          <w:lang w:val="en-US"/>
        </w:rPr>
        <w:instrText>b</w:instrText>
      </w:r>
      <w:r w:rsidR="00EA3B99" w:rsidRPr="0044196C">
        <w:rPr>
          <w:color w:val="000000" w:themeColor="text1"/>
        </w:rPr>
        <w:instrText>-9</w:instrText>
      </w:r>
      <w:r w:rsidR="00EA3B99" w:rsidRPr="0044196C">
        <w:rPr>
          <w:color w:val="000000" w:themeColor="text1"/>
          <w:lang w:val="en-US"/>
        </w:rPr>
        <w:instrText>b</w:instrText>
      </w:r>
      <w:r w:rsidR="00EA3B99" w:rsidRPr="0044196C">
        <w:rPr>
          <w:color w:val="000000" w:themeColor="text1"/>
        </w:rPr>
        <w:instrText>6</w:instrText>
      </w:r>
      <w:r w:rsidR="00EA3B99" w:rsidRPr="0044196C">
        <w:rPr>
          <w:color w:val="000000" w:themeColor="text1"/>
          <w:lang w:val="en-US"/>
        </w:rPr>
        <w:instrText>a</w:instrText>
      </w:r>
      <w:r w:rsidR="00EA3B99" w:rsidRPr="0044196C">
        <w:rPr>
          <w:color w:val="000000" w:themeColor="text1"/>
        </w:rPr>
        <w:instrText>-4993-914</w:instrText>
      </w:r>
      <w:r w:rsidR="00EA3B99" w:rsidRPr="0044196C">
        <w:rPr>
          <w:color w:val="000000" w:themeColor="text1"/>
          <w:lang w:val="en-US"/>
        </w:rPr>
        <w:instrText>a</w:instrText>
      </w:r>
      <w:r w:rsidR="00EA3B99" w:rsidRPr="0044196C">
        <w:rPr>
          <w:color w:val="000000" w:themeColor="text1"/>
        </w:rPr>
        <w:instrText>-4</w:instrText>
      </w:r>
      <w:r w:rsidR="00EA3B99" w:rsidRPr="0044196C">
        <w:rPr>
          <w:color w:val="000000" w:themeColor="text1"/>
          <w:lang w:val="en-US"/>
        </w:rPr>
        <w:instrText>c</w:instrText>
      </w:r>
      <w:r w:rsidR="00EA3B99" w:rsidRPr="0044196C">
        <w:rPr>
          <w:color w:val="000000" w:themeColor="text1"/>
        </w:rPr>
        <w:instrText>0036</w:instrText>
      </w:r>
      <w:r w:rsidR="00EA3B99" w:rsidRPr="0044196C">
        <w:rPr>
          <w:color w:val="000000" w:themeColor="text1"/>
          <w:lang w:val="en-US"/>
        </w:rPr>
        <w:instrText>ce</w:instrText>
      </w:r>
      <w:r w:rsidR="00EA3B99" w:rsidRPr="0044196C">
        <w:rPr>
          <w:color w:val="000000" w:themeColor="text1"/>
        </w:rPr>
        <w:instrText>5323"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-2",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DOI</w:instrText>
      </w:r>
      <w:r w:rsidR="00EA3B99" w:rsidRPr="0044196C">
        <w:rPr>
          <w:color w:val="000000" w:themeColor="text1"/>
        </w:rPr>
        <w:instrText>" : "10.1093/</w:instrText>
      </w:r>
      <w:r w:rsidR="00EA3B99" w:rsidRPr="0044196C">
        <w:rPr>
          <w:color w:val="000000" w:themeColor="text1"/>
          <w:lang w:val="en-US"/>
        </w:rPr>
        <w:instrText>eurheartj</w:instrText>
      </w:r>
      <w:r w:rsidR="00EA3B99" w:rsidRPr="0044196C">
        <w:rPr>
          <w:color w:val="000000" w:themeColor="text1"/>
        </w:rPr>
        <w:instrText>/</w:instrText>
      </w:r>
      <w:r w:rsidR="00EA3B99" w:rsidRPr="0044196C">
        <w:rPr>
          <w:color w:val="000000" w:themeColor="text1"/>
          <w:lang w:val="en-US"/>
        </w:rPr>
        <w:instrText>eht</w:instrText>
      </w:r>
      <w:r w:rsidR="00EA3B99" w:rsidRPr="0044196C">
        <w:rPr>
          <w:color w:val="000000" w:themeColor="text1"/>
        </w:rPr>
        <w:instrText>151", "</w:instrText>
      </w:r>
      <w:r w:rsidR="00EA3B99" w:rsidRPr="0044196C">
        <w:rPr>
          <w:color w:val="000000" w:themeColor="text1"/>
          <w:lang w:val="en-US"/>
        </w:rPr>
        <w:instrText>ISSN</w:instrText>
      </w:r>
      <w:r w:rsidR="00EA3B99" w:rsidRPr="0044196C">
        <w:rPr>
          <w:color w:val="000000" w:themeColor="text1"/>
        </w:rPr>
        <w:instrText>" : "1522-9645", "</w:instrText>
      </w:r>
      <w:r w:rsidR="00EA3B99" w:rsidRPr="0044196C">
        <w:rPr>
          <w:color w:val="000000" w:themeColor="text1"/>
          <w:lang w:val="en-US"/>
        </w:rPr>
        <w:instrText>PMID</w:instrText>
      </w:r>
      <w:r w:rsidR="00EA3B99" w:rsidRPr="0044196C">
        <w:rPr>
          <w:color w:val="000000" w:themeColor="text1"/>
        </w:rPr>
        <w:instrText>" : "23771844",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Mancia</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Giuseppe</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Fagard</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Robert</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Narkiewicz</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Krzysztof</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Redon</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Josep</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Zanchetti</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Alberto</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 "suffix" : "" }, { "dropping-particle" : "", "family" : "B\u00f6hm", "given" : "Michael", "non-dropping-particle" : "", "parse-names" : false, "suffix" : "" }, { "dropping-particle" : "", "family" : "Christiaens", "given" : "Thierry", "non-dropping-particle" : "", "parse-names" : false, "suffix" : "" }, { "dropping-particle" : "", "family" : "Cifkova", "given" : "Renata", "non-dropping-particle" : "", "parse-names" : false, "suffix" : "" }, { "dropping-particle" : "", "family" : "Backer", "given" : "Guy", "non-dropping-particle" : "De", "parse-names" : false, "suffix" : "" }, { "dropping-particle" : "", "family" : "Dominiczak", "given" : "Anna", "non-dropping-particle" : "", "parse-names" : false, "suffix" : "" }, { "dropping-particle" : "", "family" : "Galderisi", "given" : "Maurizio", "non-dropping-particle" : "", "parse-names" : false, "suffix" : "" }, { "dropping-particle" : "", "family" : "Grobbee", "given" : "Diederick E", "non-dropping-particle" : "", "parse-names" : false, "suffix" : "" }, { "dropping-particle" : "", "family" : "Jaarsma", "given" : "Tiny", "non-dropping-particle" : "", "parse-names" : false, "suffix" : "" }, { "dropping-particle" : "", "family" : "Kirchhof", "given" : "Paulus", "non-dropping-particle" : "", "parse-names" : false, "suffix" : "" }, { "dropping-particle" : "", "family" : "Kjeldsen", "given" : "Sverre E", "non-dropping-particle" : "", "parse-names" : false, "suffix" : "" }, { "dropping-particle" : "", "family" : "Laurent", "given" : "St\u00e9phane", "non-dropping-particle" : "", "parse-names" : false, "suffix" : "" }, { "dropping-particle" : "", "family" : "Manolis", "given" : "Athanasios J", "non-dropping-particle" : "", "parse-names" : false, "suffix" : "" }, { "dropping-particle" : "", "family" : "Nilsson", "given" : "Peter M", "non-dropping-particle" : "", "parse-names" : false, "suffix" : "" }, { "dropping-particle" : "", "family" : "Ruilope", "given" : "Luis Miguel", "non-dropping-particle" : "", "parse-names" : false, "suffix" : "" }, { "dropping-particle" : "", "family" : "Schmieder", "given" : "Roland E", "non-dropping-particle" : "", "parse-names" : false, "suffix" : "" }, { "dropping-particle" : "", "family" : "Sirnes", "given" : "Per Anton", "non-dropping-particle" : "", "parse-names" : false, "suffix" : "" }, { "dropping-particle" : "", "family" : "Sleight", "given" : "Peter", "non-dropping-particle" : "", "parse-names" : false, "suffix" : "" }, { "dropping-particle" : "", "family" : "Viigimaa", "given" : "Margus", "non-dropping-particle" : "", "parse-names" : false, "suffix" : "" }, { "dropping-particle" : "", "family" : "Waeber", "given" : "Bernard", "non-dropping-particle" : "", "parse-names" : false, "suffix" : "" }, { "dropping-particle" : "", "family" : "Zannad", "given" : "Faiez", "non-dropping-particle" : "", "parse-names" : false, "suffix" : "" }, { "dropping-particle" : "", "family" : "Burnier", "given" : "Michel", "non-dropping-particle" : "", "parse-names" : false, "suffix" : "" }, { "dropping-particle" : "", "family" : "Ambrosioni", "given" : "Ettore", "non-dropping-particle" : "", "parse-names" : false, "suffix" : "" }, { "dropping-particle" : "", "family" : "Caufield", "given" : "Mark", "non-dropping-particle" : "", "parse-names" : false, "suffix" : "" }, { "dropping-particle" : "", "family" : "Coca", "given" : "Antonio", "non-dropping-particle" : "", "parse-names" : false, "suffix" : "" }, { "dropping-particle" : "", "family" : "Olsen", "given" : "Michael Hecht", "non-dropping-particle" : "", "parse-names" : false, "suffix" : "" }, { "dropping-particle" : "", "family" : "Tsioufis", "given" : "Costas", "non-dropping-particle" : "", "parse-names" : false, "suffix" : "" }, { "dropping-particle" : "", "family" : "Borne", "given" : "Philippe", "non-dropping-particle" : "van de", "parse-names" : false, "suffix" : "" }, { "dropping-particle" : "", "family" : "Zamorano", "given" : "Jose Luis", "non-dropping-particle" : "", "parse-names" : false, "suffix" : "" }, { "dropping-particle" : "", "family" : "Achenbach", "given" : "Stephan", "non-dropping-particle" : "", "parse-names" : false, "suffix" : "" }, { "dropping-particle" : "", "family" : "Baumgartner", "given" : "Helmut", "non-dropping-particle" : "", "parse-names" : false, "suffix" : "" }, { "dropping-particle" : "", "family" : "Bax", "given" : "Jeroen J", "non-dropping-particle" : "", "parse-names" : false, "suffix" : "" }, { "dropping-particle" : "", "family" : "Bueno", "given" : "H\u00e9ctor", "non-dropping-particle" : "", "parse-names" : false, "suffix" : "" }, { "dropping-particle" : "", "family" : "Dean", "given" : "Veronica", "non-dropping-particle" : "", "parse-names" : false, "suffix" : "" }, { "dropping-particle" : "", "family" : "Deaton", "given" : "Christi", "non-dropping-particle" : "", "parse-names" : false, "suffix" : "" }, { "dropping-particle" : "", "family" : "Erol", "given" : "Cetin", "non-dropping-particle" : "", "parse-names" : false, "suffix" : "" }, { "dropping-particle" : "", "family" : "Ferrari", "given" : "Roberto", "non-dropping-particle" : "", "parse-names" : false, "suffix" : "" }, { "dropping-particle" : "", "family" : "Hasdai", "given" : "David", "non-dropping-particle" : "", "parse-names" : false, "suffix" : "" }, { "dropping-particle" : "", "family" : "Hoes", "given" : "Arno W", "non-dropping-particle" : "", "parse-names" : false, "suffix" : "" }, { "dropping-particle" : "", "family" : "Knuuti", "given" : "Juhani", "non-dropping-particle" : "", "parse-names" : false, "suffix" : "" }, { "dropping-particle" : "", "family" : "Kolh", "given" : "Philippe", "non-dropping-particle" : "", "parse-names" : false, "suffix" : "" }, { "dropping-particle" : "", "family" : "Lancellotti", "given" : "Patrizio", "non-dropping-particle" : "", "parse-names" : false, "suffix" : "" }, { "dropping-particle" : "", "family" : "Linhart", "given" : "Ales", "non-dropping-particle" : "", "parse-names" : false, "suffix" : "" }, { "dropping-particle" : "", "family" : "Nihoyannopoulos", "given" : "Petros", "non-dropping-particle" : "", "parse-names" : false, "suffix" : "" }, { "dropping-particle" : "", "family" : "Piepoli", "given" : "Massimo F", "non-dropping-particle" : "", "parse-names" : false, "suffix" : "" }, { "dropping-particle" : "", "family" : "Ponikowski", "given" : "Piotr", "non-dropping-particle" : "", "parse-names" : false, "suffix" : "" }, { "dropping-particle" : "", "family" : "Tamargo", "given" : "Juan Luis", "non-dropping-particle" : "", "parse-names" : false, "suffix" : "" }, { "dropping-particle" : "", "family" : "Tendera", "given" : "Michal", "non-dropping-particle" : "", "parse-names" : false, "suffix" : "" }, { "dropping-particle" : "", "family" : "Torbicki", "given" : "Adam", "non-dropping-particle" : "", "parse-names" : false, "suffix" : "" }, { "dropping-particle" : "", "family" : "Wijns", "given" : "William", "non-dropping-particle" : "", "parse-names" : false, "suffix" : "" }, { "dropping-particle" : "", "family" : "Windecker", "given" : "Stephan", "non-dropping-particle" : "", "parse-names" : false, "suffix" : "" }, { "dropping-particle" : "", "family" : "Clement", "given" : "Denis L", "non-dropping-particle" : "", "parse-names" : false, "suffix" : "" }, { "dropping-particle" : "", "family" : "Gillebert", "given" : "Thierry C", "non-dropping-particle" : "", "parse-names" : false, "suffix" : "" }, { "dropping-particle" : "", "family" : "Rosei", "given" : "Enrico Agabiti", "non-dropping-particle" : "", "parse-names" : false, "suffix" : "" }, { "dropping-particle" : "", "family" : "Anker", "given" : "Stefan D", "non-dropping-particle" : "", "parse-names" : false, "suffix" : "" }, { "dropping-particle" : "", "family" : "Bauersachs", "given" : "Johann", "non-dropping-particle" : "", "parse-names" : false, "suffix" : "" }, { "dropping-particle" : "", "family" : "Hitij", "given" : "Jana Brguljan", "non-dropping-particle" : "", "parse-names" : false, "suffix" : "" }, { "dropping-particle" : "", "family" : "Caulfield", "given" : "Mark", "non-dropping-particle" : "", "parse-names" : false, "suffix" : "" }, { "dropping-particle" : "", "family" : "Buyzere", "given" : "Marc", "non-dropping-particle" : "De", "parse-names" : false, "suffix" : "" }, { "dropping-particle" : "", "family" : "Geest", "given" : "Sabina", "non-dropping-particle" : "De", "parse-names" : false, "suffix" : "" }, { "dropping-particle" : "", "family" : "Derumeaux", "given" : "Genevi\u00e8ve Anne", "non-dropping-particle" : "", "parse-names" : false, "suffix" : "" }, { "dropping-particle" : "", "family" : "Erdine", "given" : "Serap", "non-dropping-particle" : "", "parse-names" : false, "suffix" : "" }, { "dropping-particle" : "", "family" : "Farsang", "given" : "Csaba", "non-dropping-particle" : "", "parse-names" : false, "suffix" : "" }, { "dropping-particle" : "", "family" : "Funck-Brentano", "given" : "Christian", "non-dropping-particle" : "", "parse-names" : false, "suffix" : "" }, { "dropping-particle" : "", "family" : "Gerc", "given" : "Vjekoslav", "non-dropping-particle" : "", "parse-names" : false, "suffix" : "" }, { "dropping-particle" : "", "family" : "Germano", "given" : "Giuseppe", "non-dropping-particle" : "", "parse-names" : false, "suffix" : "" }, { "dropping-particle" : "", "family" : "Gielen", "given" : "Stephan", "non-dropping-particle" : "", "parse-names" : false, "suffix" : "" }, { "dropping-particle" : "", "family" : "Haller", "given" : "Herman", "non-dropping-particle" : "", "parse-names" : false, "suffix" : "" }, { "dropping-particle" : "", "family" : "Jordan", "given" : "Jens", "non-dropping-particle" : "", "parse-names" : false, "suffix" : "" }, { "dropping-particle" : "", "family" : "Kahan", "given" : "Thomas", "non-dropping-particle" : "", "parse-names" : false, "suffix" : "" }, { "dropping-particle" : "", "family" : "Komajda", "given" : "Michel", "non-dropping-particle" : "", "parse-names" : false, "suffix" : "" }, { "dropping-particle" : "", "family" : "Lovic", "given" : "Dragan", "non-dropping-particle" : "", "parse-names" : false, "suffix" : "" }, { "dropping-particle" : "", "family" : "Mahrholdt", "given" : "Heiko", "non-dropping-particle" : "", "parse-names" : false, "suffix" : "" }, { "dropping-particle" : "", "family" : "Ostergren", "given" : "Jan", "non-dropping-particle" : "", "parse-names" : false, "suffix" : "" }, { "dropping-particle" : "", "family" : "Parati", "given" : "Gianfranco", "non-dropping-particle" : "", "parse-names" : false, "suffix" : "" }, { "dropping-particle" : "", "family" : "Perk", "given" : "Joep", "non-dropping-particle" : "", "parse-names" : false, "suffix" : "" }, { "dropping-particle" : "", "family" : "Polonia", "given" : "Jorge", "non-dropping-particle" : "", "parse-names" : false, "suffix" : "" }, { "dropping-particle" : "", "family" : "Popescu", "given" : "Bogdan a", "non-dropping-particle" : "", "parse-names" : false, "suffix" : "" }, { "dropping-particle" : "", "family" : "Reiner", "given" : "Zeljko", "non-dropping-particle" : "", "parse-names" : false, "suffix" : "" }, { "dropping-particle" : "", "family" : "Ryd\u00e9n", "given" : "Lars", "non-dropping-particle" : "", "parse-names" : false, "suffix" : "" }, { "dropping-particle" : "", "family" : "Sirenko", "given" : "Yuriy", "non-dropping-particle" : "", "parse-names" : false, "suffix" : "" }, { "dropping-particle" : "", "family" : "Stanton", "given" : "Alice", "non-dropping-particle" : "", "parse-names" : false, "suffix" : "" }, { "dropping-particle" : "", "family" : "Struijker-Boudier", "given" : "Harry", "non-dropping-particle" : "", "parse-names" : false, "suffix" : "" }, { "dropping-particle" : "", "family" : "Vlachopoulos", "given" : "Charalambos", "non-dropping-particle" : "", "parse-names" : false, "suffix" : "" }, { "dropping-particle" : "", "family" : "Volpe", "given" : "Massimo", "non-dropping-particle" : "", "parse-names" : false, "suffix" : "" }, { "dropping-particle" : "", "family" : "Wood", "given" : "David a", "non-dropping-particle" : "", "parse-names" : false, "suffix" : "" } ], "container-title" : "European heart journal", "id" : "ITEM-2", "issue" : "28", "issued" : { "date-parts" : [ [ "2013", "7" ] ] }, "page" : "2159-219", "title" : "2013 ESH/ESC guidelines for the management of arterial hypertension: the Task Force for the Management of Arterial Hypertension of the European Society of Hypertension (ESH) and of the European Society of Cardiology (ESC).", "type" : "article-journal", "volume" : "34" }, "uris" : [ "http://www.mendeley.com/documents/?uuid=3a63d721-cff4-4b35-b0fa-75b89cd65fdf" ] } ], "mendeley" : { "previouslyFormattedCitation" : "[\u0427\u0430\u0437\u043e\u0432\u0430 \u0438 \u0434\u0440., 2010; Mancia \u0438 \u0434\u0440., 2013]" }, "properties" : { "noteIndex" : 0 }, "schema" : "https://github.com/citation-style-language/schema/raw/master/csl-citation.json" }</w:instrText>
      </w:r>
      <w:r w:rsidR="009D7C63" w:rsidRPr="0044196C">
        <w:rPr>
          <w:color w:val="000000" w:themeColor="text1"/>
          <w:lang w:val="en-US"/>
        </w:rPr>
        <w:fldChar w:fldCharType="separate"/>
      </w:r>
      <w:r w:rsidR="00EA3B99" w:rsidRPr="0044196C">
        <w:rPr>
          <w:b w:val="0"/>
          <w:noProof/>
          <w:color w:val="000000" w:themeColor="text1"/>
          <w:lang w:val="en-US"/>
        </w:rPr>
        <w:t>[</w:t>
      </w:r>
      <w:r w:rsidR="00EA3B99" w:rsidRPr="0044196C">
        <w:rPr>
          <w:b w:val="0"/>
          <w:noProof/>
          <w:color w:val="000000" w:themeColor="text1"/>
        </w:rPr>
        <w:t>Чазова</w:t>
      </w:r>
      <w:r w:rsidR="00EA3B99" w:rsidRPr="0044196C">
        <w:rPr>
          <w:b w:val="0"/>
          <w:noProof/>
          <w:color w:val="000000" w:themeColor="text1"/>
          <w:lang w:val="en-US"/>
        </w:rPr>
        <w:t xml:space="preserve"> </w:t>
      </w:r>
      <w:r w:rsidR="00EA3B99" w:rsidRPr="0044196C">
        <w:rPr>
          <w:b w:val="0"/>
          <w:noProof/>
          <w:color w:val="000000" w:themeColor="text1"/>
        </w:rPr>
        <w:t>и</w:t>
      </w:r>
      <w:r w:rsidR="00EA3B99" w:rsidRPr="0044196C">
        <w:rPr>
          <w:b w:val="0"/>
          <w:noProof/>
          <w:color w:val="000000" w:themeColor="text1"/>
          <w:lang w:val="en-US"/>
        </w:rPr>
        <w:t xml:space="preserve"> </w:t>
      </w:r>
      <w:r w:rsidR="00EA3B99" w:rsidRPr="0044196C">
        <w:rPr>
          <w:b w:val="0"/>
          <w:noProof/>
          <w:color w:val="000000" w:themeColor="text1"/>
        </w:rPr>
        <w:t>др</w:t>
      </w:r>
      <w:r w:rsidR="00EA3B99" w:rsidRPr="0044196C">
        <w:rPr>
          <w:b w:val="0"/>
          <w:noProof/>
          <w:color w:val="000000" w:themeColor="text1"/>
          <w:lang w:val="en-US"/>
        </w:rPr>
        <w:t xml:space="preserve">., 2010; Mancia </w:t>
      </w:r>
      <w:r w:rsidR="00EA3B99" w:rsidRPr="0044196C">
        <w:rPr>
          <w:b w:val="0"/>
          <w:noProof/>
          <w:color w:val="000000" w:themeColor="text1"/>
        </w:rPr>
        <w:t>и</w:t>
      </w:r>
      <w:r w:rsidR="00EA3B99" w:rsidRPr="0044196C">
        <w:rPr>
          <w:b w:val="0"/>
          <w:noProof/>
          <w:color w:val="000000" w:themeColor="text1"/>
          <w:lang w:val="en-US"/>
        </w:rPr>
        <w:t xml:space="preserve"> </w:t>
      </w:r>
      <w:r w:rsidR="00EA3B99" w:rsidRPr="0044196C">
        <w:rPr>
          <w:b w:val="0"/>
          <w:noProof/>
          <w:color w:val="000000" w:themeColor="text1"/>
        </w:rPr>
        <w:t>др</w:t>
      </w:r>
      <w:r w:rsidR="00EA3B99" w:rsidRPr="0044196C">
        <w:rPr>
          <w:b w:val="0"/>
          <w:noProof/>
          <w:color w:val="000000" w:themeColor="text1"/>
          <w:lang w:val="en-US"/>
        </w:rPr>
        <w:t>., 2013]</w:t>
      </w:r>
      <w:r w:rsidR="009D7C63" w:rsidRPr="0044196C">
        <w:rPr>
          <w:color w:val="000000" w:themeColor="text1"/>
          <w:lang w:val="en-US"/>
        </w:rPr>
        <w:fldChar w:fldCharType="end"/>
      </w:r>
    </w:p>
    <w:tbl>
      <w:tblPr>
        <w:tblW w:w="5000" w:type="pct"/>
        <w:tblCellMar>
          <w:left w:w="10" w:type="dxa"/>
          <w:right w:w="10" w:type="dxa"/>
        </w:tblCellMar>
        <w:tblLook w:val="0000"/>
      </w:tblPr>
      <w:tblGrid>
        <w:gridCol w:w="3955"/>
        <w:gridCol w:w="2308"/>
        <w:gridCol w:w="724"/>
        <w:gridCol w:w="2486"/>
      </w:tblGrid>
      <w:tr w:rsidR="00E37083" w:rsidRPr="0044196C" w:rsidTr="00E37083">
        <w:trPr>
          <w:trHeight w:val="762"/>
        </w:trPr>
        <w:tc>
          <w:tcPr>
            <w:tcW w:w="2087" w:type="pct"/>
            <w:shd w:val="clear" w:color="auto" w:fill="365F91" w:themeFill="accent1" w:themeFillShade="BF"/>
            <w:tcMar>
              <w:top w:w="0" w:type="dxa"/>
              <w:left w:w="108" w:type="dxa"/>
              <w:bottom w:w="0" w:type="dxa"/>
              <w:right w:w="108" w:type="dxa"/>
            </w:tcMar>
            <w:vAlign w:val="center"/>
          </w:tcPr>
          <w:p w:rsidR="008636CD" w:rsidRPr="0044196C" w:rsidRDefault="008636CD" w:rsidP="00E37083">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sz w:val="26"/>
                <w:szCs w:val="26"/>
                <w:lang w:val="en-US"/>
              </w:rPr>
            </w:pPr>
            <w:r w:rsidRPr="0044196C">
              <w:rPr>
                <w:rFonts w:asciiTheme="minorHAnsi" w:hAnsiTheme="minorHAnsi"/>
                <w:b/>
                <w:color w:val="000000" w:themeColor="text1"/>
                <w:kern w:val="3"/>
                <w:sz w:val="26"/>
                <w:szCs w:val="26"/>
              </w:rPr>
              <w:t>Метод</w:t>
            </w:r>
            <w:r w:rsidRPr="0044196C">
              <w:rPr>
                <w:rFonts w:asciiTheme="minorHAnsi" w:hAnsiTheme="minorHAnsi"/>
                <w:b/>
                <w:color w:val="000000" w:themeColor="text1"/>
                <w:kern w:val="3"/>
                <w:sz w:val="26"/>
                <w:szCs w:val="26"/>
                <w:lang w:val="en-US"/>
              </w:rPr>
              <w:t xml:space="preserve"> </w:t>
            </w:r>
            <w:r w:rsidRPr="0044196C">
              <w:rPr>
                <w:rFonts w:asciiTheme="minorHAnsi" w:hAnsiTheme="minorHAnsi"/>
                <w:b/>
                <w:color w:val="000000" w:themeColor="text1"/>
                <w:kern w:val="3"/>
                <w:sz w:val="26"/>
                <w:szCs w:val="26"/>
              </w:rPr>
              <w:t>измерения</w:t>
            </w:r>
            <w:r w:rsidRPr="0044196C">
              <w:rPr>
                <w:rFonts w:asciiTheme="minorHAnsi" w:hAnsiTheme="minorHAnsi"/>
                <w:b/>
                <w:color w:val="000000" w:themeColor="text1"/>
                <w:kern w:val="3"/>
                <w:sz w:val="26"/>
                <w:szCs w:val="26"/>
                <w:lang w:val="en-US"/>
              </w:rPr>
              <w:t xml:space="preserve"> </w:t>
            </w:r>
            <w:r w:rsidRPr="0044196C">
              <w:rPr>
                <w:rFonts w:asciiTheme="minorHAnsi" w:hAnsiTheme="minorHAnsi"/>
                <w:b/>
                <w:color w:val="000000" w:themeColor="text1"/>
                <w:kern w:val="3"/>
                <w:sz w:val="26"/>
                <w:szCs w:val="26"/>
              </w:rPr>
              <w:t>АД</w:t>
            </w:r>
          </w:p>
        </w:tc>
        <w:tc>
          <w:tcPr>
            <w:tcW w:w="1218" w:type="pct"/>
            <w:shd w:val="clear" w:color="auto" w:fill="365F91" w:themeFill="accent1" w:themeFillShade="BF"/>
            <w:vAlign w:val="center"/>
          </w:tcPr>
          <w:p w:rsidR="008636CD" w:rsidRPr="0044196C" w:rsidRDefault="008636CD" w:rsidP="00E37083">
            <w:pPr>
              <w:keepNext/>
              <w:keepLines/>
              <w:suppressAutoHyphens/>
              <w:autoSpaceDN w:val="0"/>
              <w:spacing w:before="20" w:after="20" w:line="240" w:lineRule="auto"/>
              <w:ind w:firstLine="41"/>
              <w:jc w:val="center"/>
              <w:textAlignment w:val="baseline"/>
              <w:rPr>
                <w:rFonts w:asciiTheme="minorHAnsi" w:hAnsiTheme="minorHAnsi"/>
                <w:b/>
                <w:color w:val="000000" w:themeColor="text1"/>
                <w:kern w:val="3"/>
                <w:szCs w:val="26"/>
                <w:lang w:val="en-US"/>
              </w:rPr>
            </w:pPr>
            <w:r w:rsidRPr="0044196C">
              <w:rPr>
                <w:rFonts w:asciiTheme="minorHAnsi" w:hAnsiTheme="minorHAnsi"/>
                <w:b/>
                <w:color w:val="000000" w:themeColor="text1"/>
                <w:kern w:val="3"/>
                <w:szCs w:val="26"/>
              </w:rPr>
              <w:t>Систолическое</w:t>
            </w:r>
            <w:r w:rsidRPr="0044196C">
              <w:rPr>
                <w:rFonts w:asciiTheme="minorHAnsi" w:hAnsiTheme="minorHAnsi"/>
                <w:b/>
                <w:color w:val="000000" w:themeColor="text1"/>
                <w:kern w:val="3"/>
                <w:szCs w:val="26"/>
                <w:lang w:val="en-US"/>
              </w:rPr>
              <w:t xml:space="preserve"> </w:t>
            </w:r>
            <w:r w:rsidRPr="0044196C">
              <w:rPr>
                <w:rFonts w:asciiTheme="minorHAnsi" w:hAnsiTheme="minorHAnsi"/>
                <w:b/>
                <w:color w:val="000000" w:themeColor="text1"/>
                <w:kern w:val="3"/>
                <w:szCs w:val="26"/>
              </w:rPr>
              <w:t>АД</w:t>
            </w:r>
            <w:r w:rsidRPr="0044196C">
              <w:rPr>
                <w:rFonts w:asciiTheme="minorHAnsi" w:hAnsiTheme="minorHAnsi"/>
                <w:b/>
                <w:color w:val="000000" w:themeColor="text1"/>
                <w:kern w:val="3"/>
                <w:szCs w:val="26"/>
                <w:lang w:val="en-US"/>
              </w:rPr>
              <w:t>,</w:t>
            </w:r>
          </w:p>
          <w:p w:rsidR="008636CD" w:rsidRPr="0044196C" w:rsidRDefault="00E37083" w:rsidP="00E37083">
            <w:pPr>
              <w:keepNext/>
              <w:keepLines/>
              <w:suppressAutoHyphens/>
              <w:autoSpaceDN w:val="0"/>
              <w:spacing w:before="20" w:after="20" w:line="240" w:lineRule="auto"/>
              <w:ind w:firstLine="41"/>
              <w:jc w:val="center"/>
              <w:textAlignment w:val="baseline"/>
              <w:rPr>
                <w:rFonts w:asciiTheme="minorHAnsi" w:hAnsiTheme="minorHAnsi"/>
                <w:b/>
                <w:color w:val="000000" w:themeColor="text1"/>
                <w:kern w:val="3"/>
                <w:szCs w:val="26"/>
                <w:lang w:val="en-US"/>
              </w:rPr>
            </w:pPr>
            <w:r w:rsidRPr="0044196C">
              <w:rPr>
                <w:rFonts w:asciiTheme="minorHAnsi" w:hAnsiTheme="minorHAnsi"/>
                <w:b/>
                <w:color w:val="000000" w:themeColor="text1"/>
                <w:kern w:val="3"/>
                <w:szCs w:val="26"/>
              </w:rPr>
              <w:t>мм</w:t>
            </w:r>
            <w:r w:rsidRPr="0044196C">
              <w:rPr>
                <w:rFonts w:asciiTheme="minorHAnsi" w:hAnsiTheme="minorHAnsi"/>
                <w:b/>
                <w:color w:val="000000" w:themeColor="text1"/>
                <w:kern w:val="3"/>
                <w:szCs w:val="26"/>
                <w:lang w:val="en-US"/>
              </w:rPr>
              <w:t xml:space="preserve"> </w:t>
            </w:r>
            <w:r w:rsidRPr="0044196C">
              <w:rPr>
                <w:rFonts w:asciiTheme="minorHAnsi" w:hAnsiTheme="minorHAnsi"/>
                <w:b/>
                <w:color w:val="000000" w:themeColor="text1"/>
                <w:kern w:val="3"/>
                <w:szCs w:val="26"/>
              </w:rPr>
              <w:t>рт</w:t>
            </w:r>
            <w:r w:rsidRPr="0044196C">
              <w:rPr>
                <w:rFonts w:asciiTheme="minorHAnsi" w:hAnsiTheme="minorHAnsi"/>
                <w:b/>
                <w:color w:val="000000" w:themeColor="text1"/>
                <w:kern w:val="3"/>
                <w:szCs w:val="26"/>
                <w:lang w:val="en-US"/>
              </w:rPr>
              <w:t>.</w:t>
            </w:r>
            <w:r w:rsidRPr="0044196C">
              <w:rPr>
                <w:rFonts w:asciiTheme="minorHAnsi" w:hAnsiTheme="minorHAnsi"/>
                <w:b/>
                <w:color w:val="000000" w:themeColor="text1"/>
                <w:kern w:val="3"/>
                <w:szCs w:val="26"/>
              </w:rPr>
              <w:t>ст</w:t>
            </w:r>
            <w:r w:rsidRPr="0044196C">
              <w:rPr>
                <w:rFonts w:asciiTheme="minorHAnsi" w:hAnsiTheme="minorHAnsi"/>
                <w:b/>
                <w:color w:val="000000" w:themeColor="text1"/>
                <w:kern w:val="3"/>
                <w:szCs w:val="26"/>
                <w:lang w:val="en-US"/>
              </w:rPr>
              <w:t>.</w:t>
            </w:r>
          </w:p>
        </w:tc>
        <w:tc>
          <w:tcPr>
            <w:tcW w:w="382" w:type="pct"/>
            <w:shd w:val="clear" w:color="auto" w:fill="365F91" w:themeFill="accent1" w:themeFillShade="BF"/>
            <w:tcMar>
              <w:top w:w="0" w:type="dxa"/>
              <w:left w:w="108" w:type="dxa"/>
              <w:bottom w:w="0" w:type="dxa"/>
              <w:right w:w="108" w:type="dxa"/>
            </w:tcMar>
            <w:vAlign w:val="center"/>
          </w:tcPr>
          <w:p w:rsidR="008636CD" w:rsidRPr="0044196C" w:rsidRDefault="008636CD" w:rsidP="00E37083">
            <w:pPr>
              <w:keepNext/>
              <w:keepLines/>
              <w:suppressAutoHyphens/>
              <w:autoSpaceDN w:val="0"/>
              <w:spacing w:before="20" w:after="20" w:line="240" w:lineRule="auto"/>
              <w:ind w:firstLine="41"/>
              <w:jc w:val="center"/>
              <w:textAlignment w:val="baseline"/>
              <w:rPr>
                <w:rFonts w:asciiTheme="minorHAnsi" w:hAnsiTheme="minorHAnsi"/>
                <w:b/>
                <w:color w:val="000000" w:themeColor="text1"/>
                <w:kern w:val="3"/>
                <w:szCs w:val="26"/>
                <w:lang w:val="en-US"/>
              </w:rPr>
            </w:pPr>
          </w:p>
        </w:tc>
        <w:tc>
          <w:tcPr>
            <w:tcW w:w="1312" w:type="pct"/>
            <w:shd w:val="clear" w:color="auto" w:fill="365F91" w:themeFill="accent1" w:themeFillShade="BF"/>
            <w:vAlign w:val="center"/>
          </w:tcPr>
          <w:p w:rsidR="008636CD" w:rsidRPr="0044196C" w:rsidRDefault="008636CD" w:rsidP="00E37083">
            <w:pPr>
              <w:keepNext/>
              <w:keepLines/>
              <w:suppressAutoHyphens/>
              <w:autoSpaceDN w:val="0"/>
              <w:spacing w:before="20" w:after="20" w:line="240" w:lineRule="auto"/>
              <w:ind w:firstLine="41"/>
              <w:jc w:val="center"/>
              <w:textAlignment w:val="baseline"/>
              <w:rPr>
                <w:rFonts w:asciiTheme="minorHAnsi" w:hAnsiTheme="minorHAnsi"/>
                <w:b/>
                <w:color w:val="000000" w:themeColor="text1"/>
                <w:kern w:val="3"/>
                <w:szCs w:val="26"/>
                <w:lang w:val="en-US"/>
              </w:rPr>
            </w:pPr>
            <w:r w:rsidRPr="0044196C">
              <w:rPr>
                <w:rFonts w:asciiTheme="minorHAnsi" w:hAnsiTheme="minorHAnsi"/>
                <w:b/>
                <w:color w:val="000000" w:themeColor="text1"/>
                <w:kern w:val="3"/>
                <w:szCs w:val="26"/>
              </w:rPr>
              <w:t>Диастолическое</w:t>
            </w:r>
            <w:r w:rsidRPr="0044196C">
              <w:rPr>
                <w:rFonts w:asciiTheme="minorHAnsi" w:hAnsiTheme="minorHAnsi"/>
                <w:b/>
                <w:color w:val="000000" w:themeColor="text1"/>
                <w:kern w:val="3"/>
                <w:szCs w:val="26"/>
                <w:lang w:val="en-US"/>
              </w:rPr>
              <w:t xml:space="preserve"> </w:t>
            </w:r>
            <w:r w:rsidRPr="0044196C">
              <w:rPr>
                <w:rFonts w:asciiTheme="minorHAnsi" w:hAnsiTheme="minorHAnsi"/>
                <w:b/>
                <w:color w:val="000000" w:themeColor="text1"/>
                <w:kern w:val="3"/>
                <w:szCs w:val="26"/>
              </w:rPr>
              <w:t>АД</w:t>
            </w:r>
            <w:r w:rsidRPr="0044196C">
              <w:rPr>
                <w:rFonts w:asciiTheme="minorHAnsi" w:hAnsiTheme="minorHAnsi"/>
                <w:b/>
                <w:color w:val="000000" w:themeColor="text1"/>
                <w:kern w:val="3"/>
                <w:szCs w:val="26"/>
                <w:lang w:val="en-US"/>
              </w:rPr>
              <w:t>,</w:t>
            </w:r>
          </w:p>
          <w:p w:rsidR="008636CD" w:rsidRPr="0044196C" w:rsidRDefault="008636CD" w:rsidP="00E37083">
            <w:pPr>
              <w:keepNext/>
              <w:keepLines/>
              <w:suppressAutoHyphens/>
              <w:autoSpaceDN w:val="0"/>
              <w:spacing w:before="20" w:after="20" w:line="240" w:lineRule="auto"/>
              <w:ind w:firstLine="41"/>
              <w:jc w:val="center"/>
              <w:textAlignment w:val="baseline"/>
              <w:rPr>
                <w:rFonts w:asciiTheme="minorHAnsi" w:hAnsiTheme="minorHAnsi"/>
                <w:b/>
                <w:color w:val="000000" w:themeColor="text1"/>
                <w:kern w:val="3"/>
                <w:szCs w:val="26"/>
                <w:lang w:val="en-US"/>
              </w:rPr>
            </w:pPr>
            <w:r w:rsidRPr="0044196C">
              <w:rPr>
                <w:rFonts w:asciiTheme="minorHAnsi" w:hAnsiTheme="minorHAnsi"/>
                <w:b/>
                <w:color w:val="000000" w:themeColor="text1"/>
                <w:kern w:val="3"/>
                <w:szCs w:val="26"/>
              </w:rPr>
              <w:t>мм</w:t>
            </w:r>
            <w:r w:rsidRPr="0044196C">
              <w:rPr>
                <w:rFonts w:asciiTheme="minorHAnsi" w:hAnsiTheme="minorHAnsi"/>
                <w:b/>
                <w:color w:val="000000" w:themeColor="text1"/>
                <w:kern w:val="3"/>
                <w:szCs w:val="26"/>
                <w:lang w:val="en-US"/>
              </w:rPr>
              <w:t xml:space="preserve"> </w:t>
            </w:r>
            <w:r w:rsidRPr="0044196C">
              <w:rPr>
                <w:rFonts w:asciiTheme="minorHAnsi" w:hAnsiTheme="minorHAnsi"/>
                <w:b/>
                <w:color w:val="000000" w:themeColor="text1"/>
                <w:kern w:val="3"/>
                <w:szCs w:val="26"/>
              </w:rPr>
              <w:t>рт</w:t>
            </w:r>
            <w:r w:rsidRPr="0044196C">
              <w:rPr>
                <w:rFonts w:asciiTheme="minorHAnsi" w:hAnsiTheme="minorHAnsi"/>
                <w:b/>
                <w:color w:val="000000" w:themeColor="text1"/>
                <w:kern w:val="3"/>
                <w:szCs w:val="26"/>
                <w:lang w:val="en-US"/>
              </w:rPr>
              <w:t>.</w:t>
            </w:r>
            <w:r w:rsidRPr="0044196C">
              <w:rPr>
                <w:rFonts w:asciiTheme="minorHAnsi" w:hAnsiTheme="minorHAnsi"/>
                <w:b/>
                <w:color w:val="000000" w:themeColor="text1"/>
                <w:kern w:val="3"/>
                <w:szCs w:val="26"/>
              </w:rPr>
              <w:t>ст</w:t>
            </w:r>
            <w:r w:rsidRPr="0044196C">
              <w:rPr>
                <w:rFonts w:asciiTheme="minorHAnsi" w:hAnsiTheme="minorHAnsi"/>
                <w:b/>
                <w:color w:val="000000" w:themeColor="text1"/>
                <w:kern w:val="3"/>
                <w:szCs w:val="26"/>
                <w:lang w:val="en-US"/>
              </w:rPr>
              <w:t>.</w:t>
            </w:r>
          </w:p>
        </w:tc>
      </w:tr>
      <w:tr w:rsidR="00E37083" w:rsidRPr="0044196C" w:rsidTr="00E37083">
        <w:tc>
          <w:tcPr>
            <w:tcW w:w="2087" w:type="pct"/>
            <w:shd w:val="clear" w:color="auto" w:fill="DBE5F1" w:themeFill="accent1" w:themeFillTint="33"/>
            <w:tcMar>
              <w:top w:w="0" w:type="dxa"/>
              <w:left w:w="108" w:type="dxa"/>
              <w:bottom w:w="0" w:type="dxa"/>
              <w:right w:w="108" w:type="dxa"/>
            </w:tcMar>
          </w:tcPr>
          <w:p w:rsidR="00E37083" w:rsidRPr="0044196C" w:rsidRDefault="00E37083" w:rsidP="00E37083">
            <w:pPr>
              <w:keepNext/>
              <w:keepLines/>
              <w:suppressAutoHyphens/>
              <w:autoSpaceDN w:val="0"/>
              <w:spacing w:before="20" w:after="20" w:line="240" w:lineRule="auto"/>
              <w:ind w:firstLine="0"/>
              <w:jc w:val="left"/>
              <w:textAlignment w:val="baseline"/>
              <w:rPr>
                <w:rFonts w:asciiTheme="minorHAnsi" w:hAnsiTheme="minorHAnsi"/>
                <w:color w:val="000000" w:themeColor="text1"/>
                <w:kern w:val="3"/>
                <w:lang w:val="en-US"/>
              </w:rPr>
            </w:pPr>
            <w:r w:rsidRPr="0044196C">
              <w:rPr>
                <w:rFonts w:asciiTheme="minorHAnsi" w:hAnsiTheme="minorHAnsi"/>
                <w:color w:val="000000" w:themeColor="text1"/>
                <w:kern w:val="3"/>
                <w:szCs w:val="24"/>
              </w:rPr>
              <w:t>Измерение</w:t>
            </w:r>
            <w:r w:rsidRPr="0044196C">
              <w:rPr>
                <w:rFonts w:asciiTheme="minorHAnsi" w:hAnsiTheme="minorHAnsi"/>
                <w:color w:val="000000" w:themeColor="text1"/>
                <w:kern w:val="3"/>
                <w:szCs w:val="24"/>
                <w:lang w:val="en-US"/>
              </w:rPr>
              <w:t xml:space="preserve"> </w:t>
            </w:r>
            <w:r w:rsidRPr="0044196C">
              <w:rPr>
                <w:rFonts w:asciiTheme="minorHAnsi" w:hAnsiTheme="minorHAnsi"/>
                <w:color w:val="000000" w:themeColor="text1"/>
                <w:kern w:val="3"/>
                <w:szCs w:val="24"/>
              </w:rPr>
              <w:t>АД</w:t>
            </w:r>
            <w:r w:rsidRPr="0044196C">
              <w:rPr>
                <w:rFonts w:asciiTheme="minorHAnsi" w:hAnsiTheme="minorHAnsi"/>
                <w:color w:val="000000" w:themeColor="text1"/>
                <w:kern w:val="3"/>
                <w:szCs w:val="24"/>
                <w:lang w:val="en-US"/>
              </w:rPr>
              <w:t xml:space="preserve"> </w:t>
            </w:r>
            <w:r w:rsidRPr="0044196C">
              <w:rPr>
                <w:rFonts w:asciiTheme="minorHAnsi" w:hAnsiTheme="minorHAnsi"/>
                <w:color w:val="000000" w:themeColor="text1"/>
                <w:kern w:val="3"/>
                <w:szCs w:val="24"/>
              </w:rPr>
              <w:t>врачом</w:t>
            </w:r>
            <w:r w:rsidRPr="0044196C">
              <w:rPr>
                <w:rFonts w:asciiTheme="minorHAnsi" w:hAnsiTheme="minorHAnsi"/>
                <w:color w:val="000000" w:themeColor="text1"/>
                <w:kern w:val="3"/>
                <w:szCs w:val="24"/>
                <w:lang w:val="en-US"/>
              </w:rPr>
              <w:t xml:space="preserve"> </w:t>
            </w:r>
            <w:r w:rsidRPr="0044196C">
              <w:rPr>
                <w:rFonts w:asciiTheme="minorHAnsi" w:hAnsiTheme="minorHAnsi"/>
                <w:color w:val="000000" w:themeColor="text1"/>
                <w:kern w:val="3"/>
                <w:szCs w:val="24"/>
                <w:lang w:val="en-US"/>
              </w:rPr>
              <w:br/>
            </w:r>
            <w:r w:rsidRPr="0044196C">
              <w:rPr>
                <w:rFonts w:asciiTheme="minorHAnsi" w:hAnsiTheme="minorHAnsi"/>
                <w:color w:val="000000" w:themeColor="text1"/>
                <w:kern w:val="3"/>
                <w:szCs w:val="24"/>
              </w:rPr>
              <w:t>в</w:t>
            </w:r>
            <w:r w:rsidRPr="0044196C">
              <w:rPr>
                <w:rFonts w:asciiTheme="minorHAnsi" w:hAnsiTheme="minorHAnsi"/>
                <w:color w:val="000000" w:themeColor="text1"/>
                <w:kern w:val="3"/>
                <w:szCs w:val="24"/>
                <w:lang w:val="en-US"/>
              </w:rPr>
              <w:t xml:space="preserve"> </w:t>
            </w:r>
            <w:r w:rsidRPr="0044196C">
              <w:rPr>
                <w:rFonts w:asciiTheme="minorHAnsi" w:hAnsiTheme="minorHAnsi"/>
                <w:color w:val="000000" w:themeColor="text1"/>
                <w:kern w:val="3"/>
                <w:szCs w:val="24"/>
              </w:rPr>
              <w:t>стационаре</w:t>
            </w:r>
            <w:r w:rsidRPr="0044196C">
              <w:rPr>
                <w:rFonts w:asciiTheme="minorHAnsi" w:hAnsiTheme="minorHAnsi"/>
                <w:color w:val="000000" w:themeColor="text1"/>
                <w:kern w:val="3"/>
                <w:szCs w:val="24"/>
                <w:lang w:val="en-US"/>
              </w:rPr>
              <w:t xml:space="preserve"> </w:t>
            </w:r>
            <w:r w:rsidRPr="0044196C">
              <w:rPr>
                <w:rFonts w:asciiTheme="minorHAnsi" w:hAnsiTheme="minorHAnsi"/>
                <w:color w:val="000000" w:themeColor="text1"/>
                <w:kern w:val="3"/>
                <w:szCs w:val="24"/>
              </w:rPr>
              <w:t>или</w:t>
            </w:r>
            <w:r w:rsidRPr="0044196C">
              <w:rPr>
                <w:rFonts w:asciiTheme="minorHAnsi" w:hAnsiTheme="minorHAnsi"/>
                <w:color w:val="000000" w:themeColor="text1"/>
                <w:kern w:val="3"/>
                <w:szCs w:val="24"/>
                <w:lang w:val="en-US"/>
              </w:rPr>
              <w:t xml:space="preserve"> </w:t>
            </w:r>
            <w:r w:rsidRPr="0044196C">
              <w:rPr>
                <w:rFonts w:asciiTheme="minorHAnsi" w:hAnsiTheme="minorHAnsi"/>
                <w:color w:val="000000" w:themeColor="text1"/>
                <w:kern w:val="3"/>
                <w:szCs w:val="24"/>
              </w:rPr>
              <w:t>амбулатории</w:t>
            </w:r>
          </w:p>
        </w:tc>
        <w:tc>
          <w:tcPr>
            <w:tcW w:w="1218" w:type="pct"/>
            <w:shd w:val="clear" w:color="auto" w:fill="DBE5F1" w:themeFill="accent1" w:themeFillTint="33"/>
            <w:tcMar>
              <w:top w:w="0" w:type="dxa"/>
              <w:left w:w="108" w:type="dxa"/>
              <w:bottom w:w="0" w:type="dxa"/>
              <w:right w:w="108" w:type="dxa"/>
            </w:tcMar>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lang w:val="en-US"/>
              </w:rPr>
            </w:pPr>
            <w:r w:rsidRPr="0044196C">
              <w:rPr>
                <w:rFonts w:ascii="Calibri" w:hAnsi="Calibri"/>
                <w:color w:val="000000" w:themeColor="text1"/>
                <w:lang w:val="en-US"/>
              </w:rPr>
              <w:t>≥</w:t>
            </w:r>
            <w:r w:rsidRPr="0044196C">
              <w:rPr>
                <w:rFonts w:asciiTheme="minorHAnsi" w:hAnsiTheme="minorHAnsi"/>
                <w:color w:val="000000" w:themeColor="text1"/>
                <w:lang w:val="en-US"/>
              </w:rPr>
              <w:t>140</w:t>
            </w:r>
          </w:p>
        </w:tc>
        <w:tc>
          <w:tcPr>
            <w:tcW w:w="382" w:type="pct"/>
            <w:shd w:val="clear" w:color="auto" w:fill="DBE5F1" w:themeFill="accent1" w:themeFillTint="33"/>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szCs w:val="24"/>
                <w:lang w:val="en-US"/>
              </w:rPr>
            </w:pPr>
            <w:r w:rsidRPr="0044196C">
              <w:rPr>
                <w:rFonts w:asciiTheme="minorHAnsi" w:hAnsiTheme="minorHAnsi"/>
                <w:color w:val="000000" w:themeColor="text1"/>
              </w:rPr>
              <w:t>и</w:t>
            </w:r>
            <w:r w:rsidRPr="0044196C">
              <w:rPr>
                <w:rFonts w:asciiTheme="minorHAnsi" w:hAnsiTheme="minorHAnsi"/>
                <w:color w:val="000000" w:themeColor="text1"/>
                <w:lang w:val="en-US"/>
              </w:rPr>
              <w:t>/</w:t>
            </w:r>
            <w:r w:rsidRPr="0044196C">
              <w:rPr>
                <w:rFonts w:asciiTheme="minorHAnsi" w:hAnsiTheme="minorHAnsi"/>
                <w:color w:val="000000" w:themeColor="text1"/>
              </w:rPr>
              <w:t>или</w:t>
            </w:r>
          </w:p>
        </w:tc>
        <w:tc>
          <w:tcPr>
            <w:tcW w:w="1312" w:type="pct"/>
            <w:shd w:val="clear" w:color="auto" w:fill="DBE5F1" w:themeFill="accent1" w:themeFillTint="33"/>
            <w:tcMar>
              <w:top w:w="0" w:type="dxa"/>
              <w:left w:w="108" w:type="dxa"/>
              <w:bottom w:w="0" w:type="dxa"/>
              <w:right w:w="108" w:type="dxa"/>
            </w:tcMar>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lang w:val="en-US"/>
              </w:rPr>
            </w:pPr>
            <w:r w:rsidRPr="0044196C">
              <w:rPr>
                <w:rFonts w:ascii="Calibri" w:hAnsi="Calibri"/>
                <w:color w:val="000000" w:themeColor="text1"/>
                <w:lang w:val="en-US"/>
              </w:rPr>
              <w:t>≥</w:t>
            </w:r>
            <w:r w:rsidRPr="0044196C">
              <w:rPr>
                <w:rFonts w:asciiTheme="minorHAnsi" w:hAnsiTheme="minorHAnsi"/>
                <w:color w:val="000000" w:themeColor="text1"/>
                <w:lang w:val="en-US"/>
              </w:rPr>
              <w:t>90</w:t>
            </w:r>
          </w:p>
        </w:tc>
      </w:tr>
      <w:tr w:rsidR="00E37083" w:rsidRPr="0044196C" w:rsidTr="00E37083">
        <w:tc>
          <w:tcPr>
            <w:tcW w:w="2087" w:type="pct"/>
            <w:shd w:val="clear" w:color="auto" w:fill="B8CCE4" w:themeFill="accent1" w:themeFillTint="66"/>
            <w:tcMar>
              <w:top w:w="0" w:type="dxa"/>
              <w:left w:w="108" w:type="dxa"/>
              <w:bottom w:w="0" w:type="dxa"/>
              <w:right w:w="108" w:type="dxa"/>
            </w:tcMar>
          </w:tcPr>
          <w:p w:rsidR="00E37083" w:rsidRPr="0044196C" w:rsidRDefault="00E37083" w:rsidP="00E37083">
            <w:pPr>
              <w:keepNext/>
              <w:keepLines/>
              <w:suppressAutoHyphens/>
              <w:autoSpaceDN w:val="0"/>
              <w:spacing w:before="20" w:after="20" w:line="240" w:lineRule="auto"/>
              <w:ind w:firstLine="0"/>
              <w:jc w:val="left"/>
              <w:textAlignment w:val="baseline"/>
              <w:rPr>
                <w:rFonts w:asciiTheme="minorHAnsi" w:hAnsiTheme="minorHAnsi"/>
                <w:b/>
                <w:color w:val="000000" w:themeColor="text1"/>
                <w:kern w:val="3"/>
                <w:lang w:val="en-US"/>
              </w:rPr>
            </w:pPr>
            <w:r w:rsidRPr="0044196C">
              <w:rPr>
                <w:rFonts w:asciiTheme="minorHAnsi" w:hAnsiTheme="minorHAnsi"/>
                <w:color w:val="000000" w:themeColor="text1"/>
              </w:rPr>
              <w:t>СМАД</w:t>
            </w:r>
            <w:r w:rsidRPr="0044196C">
              <w:rPr>
                <w:rFonts w:asciiTheme="minorHAnsi" w:hAnsiTheme="minorHAnsi"/>
                <w:color w:val="000000" w:themeColor="text1"/>
                <w:lang w:val="en-US"/>
              </w:rPr>
              <w:t xml:space="preserve">: </w:t>
            </w:r>
            <w:r w:rsidRPr="0044196C">
              <w:rPr>
                <w:rFonts w:asciiTheme="minorHAnsi" w:hAnsiTheme="minorHAnsi"/>
                <w:color w:val="000000" w:themeColor="text1"/>
              </w:rPr>
              <w:t>среднедневное</w:t>
            </w:r>
            <w:r w:rsidRPr="0044196C">
              <w:rPr>
                <w:rFonts w:asciiTheme="minorHAnsi" w:hAnsiTheme="minorHAnsi"/>
                <w:color w:val="000000" w:themeColor="text1"/>
                <w:lang w:val="en-US"/>
              </w:rPr>
              <w:t xml:space="preserve"> </w:t>
            </w:r>
            <w:r w:rsidRPr="0044196C">
              <w:rPr>
                <w:rFonts w:asciiTheme="minorHAnsi" w:hAnsiTheme="minorHAnsi"/>
                <w:color w:val="000000" w:themeColor="text1"/>
              </w:rPr>
              <w:t>АД</w:t>
            </w:r>
          </w:p>
        </w:tc>
        <w:tc>
          <w:tcPr>
            <w:tcW w:w="1218" w:type="pct"/>
            <w:shd w:val="clear" w:color="auto" w:fill="B8CCE4" w:themeFill="accent1" w:themeFillTint="66"/>
            <w:tcMar>
              <w:top w:w="0" w:type="dxa"/>
              <w:left w:w="108" w:type="dxa"/>
              <w:bottom w:w="0" w:type="dxa"/>
              <w:right w:w="108" w:type="dxa"/>
            </w:tcMar>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lang w:val="en-US"/>
              </w:rPr>
            </w:pPr>
            <w:r w:rsidRPr="0044196C">
              <w:rPr>
                <w:rFonts w:ascii="Calibri" w:hAnsi="Calibri"/>
                <w:color w:val="000000" w:themeColor="text1"/>
                <w:lang w:val="en-US"/>
              </w:rPr>
              <w:t>≥135</w:t>
            </w:r>
          </w:p>
        </w:tc>
        <w:tc>
          <w:tcPr>
            <w:tcW w:w="382" w:type="pct"/>
            <w:shd w:val="clear" w:color="auto" w:fill="B8CCE4" w:themeFill="accent1" w:themeFillTint="66"/>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szCs w:val="24"/>
                <w:lang w:val="en-US"/>
              </w:rPr>
            </w:pPr>
            <w:r w:rsidRPr="0044196C">
              <w:rPr>
                <w:rFonts w:asciiTheme="minorHAnsi" w:hAnsiTheme="minorHAnsi"/>
                <w:color w:val="000000" w:themeColor="text1"/>
              </w:rPr>
              <w:t>и</w:t>
            </w:r>
            <w:r w:rsidRPr="0044196C">
              <w:rPr>
                <w:rFonts w:asciiTheme="minorHAnsi" w:hAnsiTheme="minorHAnsi"/>
                <w:color w:val="000000" w:themeColor="text1"/>
                <w:lang w:val="en-US"/>
              </w:rPr>
              <w:t>/</w:t>
            </w:r>
            <w:r w:rsidRPr="0044196C">
              <w:rPr>
                <w:rFonts w:asciiTheme="minorHAnsi" w:hAnsiTheme="minorHAnsi"/>
                <w:color w:val="000000" w:themeColor="text1"/>
              </w:rPr>
              <w:t>или</w:t>
            </w:r>
          </w:p>
        </w:tc>
        <w:tc>
          <w:tcPr>
            <w:tcW w:w="1312" w:type="pct"/>
            <w:shd w:val="clear" w:color="auto" w:fill="B8CCE4" w:themeFill="accent1" w:themeFillTint="66"/>
            <w:tcMar>
              <w:top w:w="0" w:type="dxa"/>
              <w:left w:w="108" w:type="dxa"/>
              <w:bottom w:w="0" w:type="dxa"/>
              <w:right w:w="108" w:type="dxa"/>
            </w:tcMar>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lang w:val="en-US"/>
              </w:rPr>
            </w:pPr>
            <w:r w:rsidRPr="0044196C">
              <w:rPr>
                <w:rFonts w:ascii="Calibri" w:hAnsi="Calibri"/>
                <w:color w:val="000000" w:themeColor="text1"/>
                <w:lang w:val="en-US"/>
              </w:rPr>
              <w:t>≥85</w:t>
            </w:r>
          </w:p>
        </w:tc>
      </w:tr>
      <w:tr w:rsidR="00E37083" w:rsidRPr="0044196C" w:rsidTr="00E37083">
        <w:tc>
          <w:tcPr>
            <w:tcW w:w="2087" w:type="pct"/>
            <w:shd w:val="clear" w:color="auto" w:fill="DBE5F1" w:themeFill="accent1" w:themeFillTint="33"/>
            <w:tcMar>
              <w:top w:w="0" w:type="dxa"/>
              <w:left w:w="108" w:type="dxa"/>
              <w:bottom w:w="0" w:type="dxa"/>
              <w:right w:w="108" w:type="dxa"/>
            </w:tcMar>
          </w:tcPr>
          <w:p w:rsidR="00E37083" w:rsidRPr="0044196C" w:rsidRDefault="00E37083" w:rsidP="00E37083">
            <w:pPr>
              <w:keepNext/>
              <w:keepLines/>
              <w:suppressAutoHyphens/>
              <w:autoSpaceDN w:val="0"/>
              <w:spacing w:before="20" w:after="20" w:line="240" w:lineRule="auto"/>
              <w:ind w:firstLine="0"/>
              <w:jc w:val="left"/>
              <w:textAlignment w:val="baseline"/>
              <w:rPr>
                <w:rFonts w:asciiTheme="minorHAnsi" w:hAnsiTheme="minorHAnsi"/>
                <w:b/>
                <w:color w:val="000000" w:themeColor="text1"/>
                <w:kern w:val="3"/>
                <w:lang w:val="en-US"/>
              </w:rPr>
            </w:pPr>
            <w:r w:rsidRPr="0044196C">
              <w:rPr>
                <w:rFonts w:asciiTheme="minorHAnsi" w:hAnsiTheme="minorHAnsi"/>
                <w:color w:val="000000" w:themeColor="text1"/>
              </w:rPr>
              <w:t>СМАД</w:t>
            </w:r>
            <w:r w:rsidRPr="0044196C">
              <w:rPr>
                <w:rFonts w:asciiTheme="minorHAnsi" w:hAnsiTheme="minorHAnsi"/>
                <w:color w:val="000000" w:themeColor="text1"/>
                <w:lang w:val="en-US"/>
              </w:rPr>
              <w:t xml:space="preserve">: </w:t>
            </w:r>
            <w:r w:rsidRPr="0044196C">
              <w:rPr>
                <w:rFonts w:asciiTheme="minorHAnsi" w:hAnsiTheme="minorHAnsi"/>
                <w:color w:val="000000" w:themeColor="text1"/>
              </w:rPr>
              <w:t>средненочное</w:t>
            </w:r>
            <w:r w:rsidRPr="0044196C">
              <w:rPr>
                <w:rFonts w:asciiTheme="minorHAnsi" w:hAnsiTheme="minorHAnsi"/>
                <w:color w:val="000000" w:themeColor="text1"/>
                <w:lang w:val="en-US"/>
              </w:rPr>
              <w:t xml:space="preserve"> </w:t>
            </w:r>
            <w:r w:rsidRPr="0044196C">
              <w:rPr>
                <w:rFonts w:asciiTheme="minorHAnsi" w:hAnsiTheme="minorHAnsi"/>
                <w:color w:val="000000" w:themeColor="text1"/>
              </w:rPr>
              <w:t>АД</w:t>
            </w:r>
          </w:p>
        </w:tc>
        <w:tc>
          <w:tcPr>
            <w:tcW w:w="1218" w:type="pct"/>
            <w:shd w:val="clear" w:color="auto" w:fill="DBE5F1" w:themeFill="accent1" w:themeFillTint="33"/>
            <w:tcMar>
              <w:top w:w="0" w:type="dxa"/>
              <w:left w:w="108" w:type="dxa"/>
              <w:bottom w:w="0" w:type="dxa"/>
              <w:right w:w="108" w:type="dxa"/>
            </w:tcMar>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lang w:val="en-US"/>
              </w:rPr>
            </w:pPr>
            <w:r w:rsidRPr="0044196C">
              <w:rPr>
                <w:rFonts w:ascii="Calibri" w:hAnsi="Calibri"/>
                <w:color w:val="000000" w:themeColor="text1"/>
                <w:lang w:val="en-US"/>
              </w:rPr>
              <w:t>≥120</w:t>
            </w:r>
          </w:p>
        </w:tc>
        <w:tc>
          <w:tcPr>
            <w:tcW w:w="382" w:type="pct"/>
            <w:shd w:val="clear" w:color="auto" w:fill="DBE5F1" w:themeFill="accent1" w:themeFillTint="33"/>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szCs w:val="24"/>
                <w:lang w:val="en-US"/>
              </w:rPr>
            </w:pPr>
            <w:r w:rsidRPr="0044196C">
              <w:rPr>
                <w:rFonts w:asciiTheme="minorHAnsi" w:hAnsiTheme="minorHAnsi"/>
                <w:color w:val="000000" w:themeColor="text1"/>
              </w:rPr>
              <w:t>и</w:t>
            </w:r>
            <w:r w:rsidRPr="0044196C">
              <w:rPr>
                <w:rFonts w:asciiTheme="minorHAnsi" w:hAnsiTheme="minorHAnsi"/>
                <w:color w:val="000000" w:themeColor="text1"/>
                <w:lang w:val="en-US"/>
              </w:rPr>
              <w:t>/</w:t>
            </w:r>
            <w:r w:rsidRPr="0044196C">
              <w:rPr>
                <w:rFonts w:asciiTheme="minorHAnsi" w:hAnsiTheme="minorHAnsi"/>
                <w:color w:val="000000" w:themeColor="text1"/>
              </w:rPr>
              <w:t>или</w:t>
            </w:r>
          </w:p>
        </w:tc>
        <w:tc>
          <w:tcPr>
            <w:tcW w:w="1312" w:type="pct"/>
            <w:shd w:val="clear" w:color="auto" w:fill="DBE5F1" w:themeFill="accent1" w:themeFillTint="33"/>
            <w:tcMar>
              <w:top w:w="0" w:type="dxa"/>
              <w:left w:w="108" w:type="dxa"/>
              <w:bottom w:w="0" w:type="dxa"/>
              <w:right w:w="108" w:type="dxa"/>
            </w:tcMar>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lang w:val="en-US"/>
              </w:rPr>
            </w:pPr>
            <w:r w:rsidRPr="0044196C">
              <w:rPr>
                <w:rFonts w:ascii="Calibri" w:hAnsi="Calibri"/>
                <w:color w:val="000000" w:themeColor="text1"/>
                <w:lang w:val="en-US"/>
              </w:rPr>
              <w:t>≥70</w:t>
            </w:r>
          </w:p>
        </w:tc>
      </w:tr>
      <w:tr w:rsidR="00E37083" w:rsidRPr="0044196C" w:rsidTr="00E37083">
        <w:tc>
          <w:tcPr>
            <w:tcW w:w="2087" w:type="pct"/>
            <w:shd w:val="clear" w:color="auto" w:fill="B8CCE4" w:themeFill="accent1" w:themeFillTint="66"/>
            <w:tcMar>
              <w:top w:w="0" w:type="dxa"/>
              <w:left w:w="108" w:type="dxa"/>
              <w:bottom w:w="0" w:type="dxa"/>
              <w:right w:w="108" w:type="dxa"/>
            </w:tcMar>
          </w:tcPr>
          <w:p w:rsidR="00E37083" w:rsidRPr="0044196C" w:rsidRDefault="00E37083" w:rsidP="00E37083">
            <w:pPr>
              <w:keepNext/>
              <w:keepLines/>
              <w:suppressAutoHyphens/>
              <w:autoSpaceDN w:val="0"/>
              <w:spacing w:before="20" w:after="20" w:line="240" w:lineRule="auto"/>
              <w:ind w:firstLine="0"/>
              <w:jc w:val="left"/>
              <w:textAlignment w:val="baseline"/>
              <w:rPr>
                <w:rFonts w:asciiTheme="minorHAnsi" w:hAnsiTheme="minorHAnsi"/>
                <w:b/>
                <w:color w:val="000000" w:themeColor="text1"/>
                <w:kern w:val="3"/>
                <w:lang w:val="en-US"/>
              </w:rPr>
            </w:pPr>
            <w:r w:rsidRPr="0044196C">
              <w:rPr>
                <w:rFonts w:asciiTheme="minorHAnsi" w:hAnsiTheme="minorHAnsi"/>
                <w:color w:val="000000" w:themeColor="text1"/>
              </w:rPr>
              <w:t>Самоизмерения</w:t>
            </w:r>
            <w:r w:rsidRPr="0044196C">
              <w:rPr>
                <w:rFonts w:asciiTheme="minorHAnsi" w:hAnsiTheme="minorHAnsi"/>
                <w:color w:val="000000" w:themeColor="text1"/>
                <w:lang w:val="en-US"/>
              </w:rPr>
              <w:t xml:space="preserve"> </w:t>
            </w:r>
            <w:r w:rsidRPr="0044196C">
              <w:rPr>
                <w:rFonts w:asciiTheme="minorHAnsi" w:hAnsiTheme="minorHAnsi"/>
                <w:color w:val="000000" w:themeColor="text1"/>
              </w:rPr>
              <w:t>АД</w:t>
            </w:r>
            <w:r w:rsidRPr="0044196C">
              <w:rPr>
                <w:rFonts w:asciiTheme="minorHAnsi" w:hAnsiTheme="minorHAnsi"/>
                <w:color w:val="000000" w:themeColor="text1"/>
                <w:lang w:val="en-US"/>
              </w:rPr>
              <w:t xml:space="preserve"> </w:t>
            </w:r>
            <w:r w:rsidRPr="0044196C">
              <w:rPr>
                <w:rFonts w:asciiTheme="minorHAnsi" w:hAnsiTheme="minorHAnsi"/>
                <w:color w:val="000000" w:themeColor="text1"/>
              </w:rPr>
              <w:t>пациентом</w:t>
            </w:r>
            <w:r w:rsidRPr="0044196C">
              <w:rPr>
                <w:rFonts w:asciiTheme="minorHAnsi" w:hAnsiTheme="minorHAnsi"/>
                <w:color w:val="000000" w:themeColor="text1"/>
                <w:lang w:val="en-US"/>
              </w:rPr>
              <w:t xml:space="preserve"> </w:t>
            </w:r>
            <w:r w:rsidRPr="0044196C">
              <w:rPr>
                <w:rFonts w:asciiTheme="minorHAnsi" w:hAnsiTheme="minorHAnsi"/>
                <w:color w:val="000000" w:themeColor="text1"/>
                <w:lang w:val="en-US"/>
              </w:rPr>
              <w:br/>
            </w:r>
            <w:r w:rsidRPr="0044196C">
              <w:rPr>
                <w:rFonts w:asciiTheme="minorHAnsi" w:hAnsiTheme="minorHAnsi"/>
                <w:color w:val="000000" w:themeColor="text1"/>
              </w:rPr>
              <w:t>в</w:t>
            </w:r>
            <w:r w:rsidRPr="0044196C">
              <w:rPr>
                <w:rFonts w:asciiTheme="minorHAnsi" w:hAnsiTheme="minorHAnsi"/>
                <w:color w:val="000000" w:themeColor="text1"/>
                <w:lang w:val="en-US"/>
              </w:rPr>
              <w:t xml:space="preserve"> </w:t>
            </w:r>
            <w:r w:rsidRPr="0044196C">
              <w:rPr>
                <w:rFonts w:asciiTheme="minorHAnsi" w:hAnsiTheme="minorHAnsi"/>
                <w:color w:val="000000" w:themeColor="text1"/>
              </w:rPr>
              <w:t>домашних</w:t>
            </w:r>
            <w:r w:rsidRPr="0044196C">
              <w:rPr>
                <w:rFonts w:asciiTheme="minorHAnsi" w:hAnsiTheme="minorHAnsi"/>
                <w:color w:val="000000" w:themeColor="text1"/>
                <w:lang w:val="en-US"/>
              </w:rPr>
              <w:t xml:space="preserve"> </w:t>
            </w:r>
            <w:r w:rsidRPr="0044196C">
              <w:rPr>
                <w:rFonts w:asciiTheme="minorHAnsi" w:hAnsiTheme="minorHAnsi"/>
                <w:color w:val="000000" w:themeColor="text1"/>
              </w:rPr>
              <w:t>условиях</w:t>
            </w:r>
          </w:p>
        </w:tc>
        <w:tc>
          <w:tcPr>
            <w:tcW w:w="1218" w:type="pct"/>
            <w:shd w:val="clear" w:color="auto" w:fill="B8CCE4" w:themeFill="accent1" w:themeFillTint="66"/>
            <w:tcMar>
              <w:top w:w="0" w:type="dxa"/>
              <w:left w:w="108" w:type="dxa"/>
              <w:bottom w:w="0" w:type="dxa"/>
              <w:right w:w="108" w:type="dxa"/>
            </w:tcMar>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lang w:val="en-US"/>
              </w:rPr>
            </w:pPr>
            <w:r w:rsidRPr="0044196C">
              <w:rPr>
                <w:rFonts w:ascii="Calibri" w:hAnsi="Calibri"/>
                <w:color w:val="000000" w:themeColor="text1"/>
                <w:lang w:val="en-US"/>
              </w:rPr>
              <w:t>≥135</w:t>
            </w:r>
          </w:p>
        </w:tc>
        <w:tc>
          <w:tcPr>
            <w:tcW w:w="382" w:type="pct"/>
            <w:shd w:val="clear" w:color="auto" w:fill="B8CCE4" w:themeFill="accent1" w:themeFillTint="66"/>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szCs w:val="24"/>
                <w:lang w:val="en-US"/>
              </w:rPr>
            </w:pPr>
            <w:r w:rsidRPr="0044196C">
              <w:rPr>
                <w:rFonts w:asciiTheme="minorHAnsi" w:hAnsiTheme="minorHAnsi"/>
                <w:color w:val="000000" w:themeColor="text1"/>
              </w:rPr>
              <w:t>и</w:t>
            </w:r>
            <w:r w:rsidRPr="0044196C">
              <w:rPr>
                <w:rFonts w:asciiTheme="minorHAnsi" w:hAnsiTheme="minorHAnsi"/>
                <w:color w:val="000000" w:themeColor="text1"/>
                <w:lang w:val="en-US"/>
              </w:rPr>
              <w:t>/</w:t>
            </w:r>
            <w:r w:rsidRPr="0044196C">
              <w:rPr>
                <w:rFonts w:asciiTheme="minorHAnsi" w:hAnsiTheme="minorHAnsi"/>
                <w:color w:val="000000" w:themeColor="text1"/>
              </w:rPr>
              <w:t>или</w:t>
            </w:r>
          </w:p>
        </w:tc>
        <w:tc>
          <w:tcPr>
            <w:tcW w:w="1312" w:type="pct"/>
            <w:shd w:val="clear" w:color="auto" w:fill="B8CCE4" w:themeFill="accent1" w:themeFillTint="66"/>
            <w:tcMar>
              <w:top w:w="0" w:type="dxa"/>
              <w:left w:w="108" w:type="dxa"/>
              <w:bottom w:w="0" w:type="dxa"/>
              <w:right w:w="108" w:type="dxa"/>
            </w:tcMar>
            <w:vAlign w:val="center"/>
          </w:tcPr>
          <w:p w:rsidR="00E37083" w:rsidRPr="0044196C" w:rsidRDefault="00E37083" w:rsidP="00E37083">
            <w:pPr>
              <w:keepNext/>
              <w:keepLines/>
              <w:suppressAutoHyphens/>
              <w:autoSpaceDN w:val="0"/>
              <w:spacing w:before="20" w:after="20" w:line="240" w:lineRule="auto"/>
              <w:ind w:firstLine="0"/>
              <w:jc w:val="center"/>
              <w:textAlignment w:val="baseline"/>
              <w:rPr>
                <w:rFonts w:asciiTheme="minorHAnsi" w:hAnsiTheme="minorHAnsi"/>
                <w:color w:val="000000" w:themeColor="text1"/>
                <w:kern w:val="3"/>
                <w:lang w:val="en-US"/>
              </w:rPr>
            </w:pPr>
            <w:r w:rsidRPr="0044196C">
              <w:rPr>
                <w:rFonts w:ascii="Calibri" w:hAnsi="Calibri"/>
                <w:color w:val="000000" w:themeColor="text1"/>
                <w:lang w:val="en-US"/>
              </w:rPr>
              <w:t>≥85</w:t>
            </w:r>
          </w:p>
        </w:tc>
      </w:tr>
    </w:tbl>
    <w:p w:rsidR="008636CD" w:rsidRPr="0044196C" w:rsidRDefault="008636CD" w:rsidP="00E37083">
      <w:pPr>
        <w:ind w:firstLine="0"/>
        <w:rPr>
          <w:color w:val="000000" w:themeColor="text1"/>
          <w:sz w:val="8"/>
          <w:lang w:val="en-US"/>
        </w:rPr>
      </w:pPr>
    </w:p>
    <w:p w:rsidR="00B37505" w:rsidRPr="0044196C" w:rsidRDefault="00B37505" w:rsidP="00A70CC1">
      <w:pPr>
        <w:rPr>
          <w:color w:val="000000" w:themeColor="text1"/>
          <w:lang w:val="en-US"/>
        </w:rPr>
      </w:pPr>
      <w:r w:rsidRPr="0044196C">
        <w:rPr>
          <w:color w:val="000000" w:themeColor="text1"/>
        </w:rPr>
        <w:t>Учитывая</w:t>
      </w:r>
      <w:r w:rsidRPr="0044196C">
        <w:rPr>
          <w:color w:val="000000" w:themeColor="text1"/>
          <w:lang w:val="en-US"/>
        </w:rPr>
        <w:t xml:space="preserve"> </w:t>
      </w:r>
      <w:r w:rsidR="002A7788" w:rsidRPr="0044196C">
        <w:rPr>
          <w:color w:val="000000" w:themeColor="text1"/>
        </w:rPr>
        <w:t>значительное</w:t>
      </w:r>
      <w:r w:rsidR="002A7788" w:rsidRPr="0044196C">
        <w:rPr>
          <w:color w:val="000000" w:themeColor="text1"/>
          <w:lang w:val="en-US"/>
        </w:rPr>
        <w:t xml:space="preserve"> </w:t>
      </w:r>
      <w:r w:rsidR="002A7788" w:rsidRPr="0044196C">
        <w:rPr>
          <w:color w:val="000000" w:themeColor="text1"/>
        </w:rPr>
        <w:t>повышение</w:t>
      </w:r>
      <w:r w:rsidR="002A7788" w:rsidRPr="0044196C">
        <w:rPr>
          <w:color w:val="000000" w:themeColor="text1"/>
          <w:lang w:val="en-US"/>
        </w:rPr>
        <w:t xml:space="preserve"> </w:t>
      </w:r>
      <w:r w:rsidR="002A7788" w:rsidRPr="0044196C">
        <w:rPr>
          <w:color w:val="000000" w:themeColor="text1"/>
        </w:rPr>
        <w:t>сердечно</w:t>
      </w:r>
      <w:r w:rsidR="002A7788" w:rsidRPr="0044196C">
        <w:rPr>
          <w:color w:val="000000" w:themeColor="text1"/>
          <w:lang w:val="en-US"/>
        </w:rPr>
        <w:t>-</w:t>
      </w:r>
      <w:r w:rsidR="002A7788" w:rsidRPr="0044196C">
        <w:rPr>
          <w:color w:val="000000" w:themeColor="text1"/>
        </w:rPr>
        <w:t>сосудистого</w:t>
      </w:r>
      <w:r w:rsidR="002A7788" w:rsidRPr="0044196C">
        <w:rPr>
          <w:color w:val="000000" w:themeColor="text1"/>
          <w:lang w:val="en-US"/>
        </w:rPr>
        <w:t xml:space="preserve"> </w:t>
      </w:r>
      <w:r w:rsidR="002A7788" w:rsidRPr="0044196C">
        <w:rPr>
          <w:color w:val="000000" w:themeColor="text1"/>
        </w:rPr>
        <w:t>риска</w:t>
      </w:r>
      <w:r w:rsidR="002A7788" w:rsidRPr="0044196C">
        <w:rPr>
          <w:color w:val="000000" w:themeColor="text1"/>
          <w:lang w:val="en-US"/>
        </w:rPr>
        <w:t xml:space="preserve"> </w:t>
      </w:r>
      <w:r w:rsidR="002A7788" w:rsidRPr="0044196C">
        <w:rPr>
          <w:color w:val="000000" w:themeColor="text1"/>
        </w:rPr>
        <w:t>и</w:t>
      </w:r>
      <w:r w:rsidR="002A7788" w:rsidRPr="0044196C">
        <w:rPr>
          <w:color w:val="000000" w:themeColor="text1"/>
          <w:lang w:val="en-US"/>
        </w:rPr>
        <w:t xml:space="preserve"> </w:t>
      </w:r>
      <w:r w:rsidR="002A7788" w:rsidRPr="0044196C">
        <w:rPr>
          <w:color w:val="000000" w:themeColor="text1"/>
        </w:rPr>
        <w:t>нестабильности</w:t>
      </w:r>
      <w:r w:rsidR="002A7788" w:rsidRPr="0044196C">
        <w:rPr>
          <w:color w:val="000000" w:themeColor="text1"/>
          <w:lang w:val="en-US"/>
        </w:rPr>
        <w:t xml:space="preserve"> </w:t>
      </w:r>
      <w:r w:rsidR="002A7788" w:rsidRPr="0044196C">
        <w:rPr>
          <w:color w:val="000000" w:themeColor="text1"/>
        </w:rPr>
        <w:t>АД</w:t>
      </w:r>
      <w:r w:rsidR="002A7788" w:rsidRPr="0044196C">
        <w:rPr>
          <w:color w:val="000000" w:themeColor="text1"/>
          <w:lang w:val="en-US"/>
        </w:rPr>
        <w:t xml:space="preserve"> </w:t>
      </w:r>
      <w:r w:rsidR="002A7788" w:rsidRPr="0044196C">
        <w:rPr>
          <w:color w:val="000000" w:themeColor="text1"/>
        </w:rPr>
        <w:t>при</w:t>
      </w:r>
      <w:r w:rsidR="002A7788" w:rsidRPr="0044196C">
        <w:rPr>
          <w:color w:val="000000" w:themeColor="text1"/>
          <w:lang w:val="en-US"/>
        </w:rPr>
        <w:t xml:space="preserve"> </w:t>
      </w:r>
      <w:r w:rsidR="002A7788" w:rsidRPr="0044196C">
        <w:rPr>
          <w:color w:val="000000" w:themeColor="text1"/>
        </w:rPr>
        <w:t>ХБП</w:t>
      </w:r>
      <w:r w:rsidR="002A7788" w:rsidRPr="0044196C">
        <w:rPr>
          <w:color w:val="000000" w:themeColor="text1"/>
          <w:lang w:val="en-US"/>
        </w:rPr>
        <w:t xml:space="preserve">, </w:t>
      </w:r>
      <w:r w:rsidR="002A7788" w:rsidRPr="0044196C">
        <w:rPr>
          <w:b/>
          <w:color w:val="000000" w:themeColor="text1"/>
        </w:rPr>
        <w:t>наличие</w:t>
      </w:r>
      <w:r w:rsidR="002A7788" w:rsidRPr="0044196C">
        <w:rPr>
          <w:b/>
          <w:color w:val="000000" w:themeColor="text1"/>
          <w:lang w:val="en-US"/>
        </w:rPr>
        <w:t xml:space="preserve"> </w:t>
      </w:r>
      <w:r w:rsidR="002A7788" w:rsidRPr="0044196C">
        <w:rPr>
          <w:b/>
          <w:color w:val="000000" w:themeColor="text1"/>
        </w:rPr>
        <w:t>ХБП</w:t>
      </w:r>
      <w:r w:rsidR="002A7788" w:rsidRPr="0044196C">
        <w:rPr>
          <w:b/>
          <w:color w:val="000000" w:themeColor="text1"/>
          <w:lang w:val="en-US"/>
        </w:rPr>
        <w:t xml:space="preserve"> </w:t>
      </w:r>
      <w:r w:rsidR="002A7788" w:rsidRPr="0044196C">
        <w:rPr>
          <w:b/>
          <w:color w:val="000000" w:themeColor="text1"/>
        </w:rPr>
        <w:t>является</w:t>
      </w:r>
      <w:r w:rsidR="002A7788" w:rsidRPr="0044196C">
        <w:rPr>
          <w:b/>
          <w:color w:val="000000" w:themeColor="text1"/>
          <w:lang w:val="en-US"/>
        </w:rPr>
        <w:t xml:space="preserve"> </w:t>
      </w:r>
      <w:r w:rsidR="002A7788" w:rsidRPr="0044196C">
        <w:rPr>
          <w:b/>
          <w:color w:val="000000" w:themeColor="text1"/>
        </w:rPr>
        <w:t>показанием</w:t>
      </w:r>
      <w:r w:rsidR="002A7788" w:rsidRPr="0044196C">
        <w:rPr>
          <w:b/>
          <w:color w:val="000000" w:themeColor="text1"/>
          <w:lang w:val="en-US"/>
        </w:rPr>
        <w:t xml:space="preserve"> </w:t>
      </w:r>
      <w:r w:rsidR="002A7788" w:rsidRPr="0044196C">
        <w:rPr>
          <w:b/>
          <w:color w:val="000000" w:themeColor="text1"/>
        </w:rPr>
        <w:t>к</w:t>
      </w:r>
      <w:r w:rsidR="002A7788" w:rsidRPr="0044196C">
        <w:rPr>
          <w:b/>
          <w:color w:val="000000" w:themeColor="text1"/>
          <w:lang w:val="en-US"/>
        </w:rPr>
        <w:t xml:space="preserve"> </w:t>
      </w:r>
      <w:r w:rsidR="002A7788" w:rsidRPr="0044196C">
        <w:rPr>
          <w:b/>
          <w:color w:val="000000" w:themeColor="text1"/>
        </w:rPr>
        <w:t>проведению</w:t>
      </w:r>
      <w:r w:rsidR="002A7788" w:rsidRPr="0044196C">
        <w:rPr>
          <w:b/>
          <w:color w:val="000000" w:themeColor="text1"/>
          <w:lang w:val="en-US"/>
        </w:rPr>
        <w:t xml:space="preserve"> </w:t>
      </w:r>
      <w:r w:rsidR="002A7788" w:rsidRPr="0044196C">
        <w:rPr>
          <w:b/>
          <w:color w:val="000000" w:themeColor="text1"/>
        </w:rPr>
        <w:t>СМАД</w:t>
      </w:r>
      <w:r w:rsidR="002A7788" w:rsidRPr="0044196C">
        <w:rPr>
          <w:color w:val="000000" w:themeColor="text1"/>
          <w:lang w:val="en-US"/>
        </w:rPr>
        <w:t xml:space="preserve"> </w:t>
      </w:r>
      <w:r w:rsidR="002A7788" w:rsidRPr="0044196C">
        <w:rPr>
          <w:color w:val="000000" w:themeColor="text1"/>
        </w:rPr>
        <w:t>у</w:t>
      </w:r>
      <w:r w:rsidR="002A7788" w:rsidRPr="0044196C">
        <w:rPr>
          <w:color w:val="000000" w:themeColor="text1"/>
          <w:lang w:val="en-US"/>
        </w:rPr>
        <w:t xml:space="preserve"> </w:t>
      </w:r>
      <w:r w:rsidR="002A7788" w:rsidRPr="0044196C">
        <w:rPr>
          <w:color w:val="000000" w:themeColor="text1"/>
        </w:rPr>
        <w:t>пациентов</w:t>
      </w:r>
      <w:r w:rsidR="002A7788" w:rsidRPr="0044196C">
        <w:rPr>
          <w:color w:val="000000" w:themeColor="text1"/>
          <w:lang w:val="en-US"/>
        </w:rPr>
        <w:t xml:space="preserve"> </w:t>
      </w:r>
      <w:r w:rsidR="002A7788" w:rsidRPr="0044196C">
        <w:rPr>
          <w:color w:val="000000" w:themeColor="text1"/>
        </w:rPr>
        <w:t>с</w:t>
      </w:r>
      <w:r w:rsidR="002A7788" w:rsidRPr="0044196C">
        <w:rPr>
          <w:color w:val="000000" w:themeColor="text1"/>
          <w:lang w:val="en-US"/>
        </w:rPr>
        <w:t xml:space="preserve"> </w:t>
      </w:r>
      <w:r w:rsidR="002A7788" w:rsidRPr="0044196C">
        <w:rPr>
          <w:color w:val="000000" w:themeColor="text1"/>
        </w:rPr>
        <w:t>признаками</w:t>
      </w:r>
      <w:r w:rsidR="002A7788" w:rsidRPr="0044196C">
        <w:rPr>
          <w:color w:val="000000" w:themeColor="text1"/>
          <w:lang w:val="en-US"/>
        </w:rPr>
        <w:t xml:space="preserve"> </w:t>
      </w:r>
      <w:r w:rsidR="002A7788" w:rsidRPr="0044196C">
        <w:rPr>
          <w:color w:val="000000" w:themeColor="text1"/>
        </w:rPr>
        <w:t>АГ</w:t>
      </w:r>
      <w:r w:rsidR="002A7788" w:rsidRPr="0044196C">
        <w:rPr>
          <w:color w:val="000000" w:themeColor="text1"/>
          <w:lang w:val="en-US"/>
        </w:rPr>
        <w:t xml:space="preserve"> </w:t>
      </w:r>
      <w:r w:rsidR="002A7788" w:rsidRPr="0044196C">
        <w:rPr>
          <w:color w:val="000000" w:themeColor="text1"/>
        </w:rPr>
        <w:t>по</w:t>
      </w:r>
      <w:r w:rsidR="002A7788" w:rsidRPr="0044196C">
        <w:rPr>
          <w:color w:val="000000" w:themeColor="text1"/>
          <w:lang w:val="en-US"/>
        </w:rPr>
        <w:t xml:space="preserve"> </w:t>
      </w:r>
      <w:r w:rsidR="002A7788" w:rsidRPr="0044196C">
        <w:rPr>
          <w:color w:val="000000" w:themeColor="text1"/>
        </w:rPr>
        <w:t>данным</w:t>
      </w:r>
      <w:r w:rsidR="002A7788" w:rsidRPr="0044196C">
        <w:rPr>
          <w:color w:val="000000" w:themeColor="text1"/>
          <w:lang w:val="en-US"/>
        </w:rPr>
        <w:t xml:space="preserve"> </w:t>
      </w:r>
      <w:r w:rsidR="002A7788" w:rsidRPr="0044196C">
        <w:rPr>
          <w:color w:val="000000" w:themeColor="text1"/>
        </w:rPr>
        <w:t>измерений</w:t>
      </w:r>
      <w:r w:rsidR="002A7788" w:rsidRPr="0044196C">
        <w:rPr>
          <w:color w:val="000000" w:themeColor="text1"/>
          <w:lang w:val="en-US"/>
        </w:rPr>
        <w:t xml:space="preserve"> </w:t>
      </w:r>
      <w:r w:rsidR="002A7788" w:rsidRPr="0044196C">
        <w:rPr>
          <w:color w:val="000000" w:themeColor="text1"/>
        </w:rPr>
        <w:t>врачом</w:t>
      </w:r>
      <w:r w:rsidR="002A7788" w:rsidRPr="0044196C">
        <w:rPr>
          <w:color w:val="000000" w:themeColor="text1"/>
          <w:lang w:val="en-US"/>
        </w:rPr>
        <w:t xml:space="preserve"> </w:t>
      </w:r>
      <w:r w:rsidR="002A7788" w:rsidRPr="0044196C">
        <w:rPr>
          <w:color w:val="000000" w:themeColor="text1"/>
        </w:rPr>
        <w:t>или</w:t>
      </w:r>
      <w:r w:rsidR="002A7788" w:rsidRPr="0044196C">
        <w:rPr>
          <w:color w:val="000000" w:themeColor="text1"/>
          <w:lang w:val="en-US"/>
        </w:rPr>
        <w:t xml:space="preserve"> </w:t>
      </w:r>
      <w:r w:rsidR="002A7788" w:rsidRPr="0044196C">
        <w:rPr>
          <w:color w:val="000000" w:themeColor="text1"/>
        </w:rPr>
        <w:t>при</w:t>
      </w:r>
      <w:r w:rsidR="002A7788" w:rsidRPr="0044196C">
        <w:rPr>
          <w:color w:val="000000" w:themeColor="text1"/>
          <w:lang w:val="en-US"/>
        </w:rPr>
        <w:t xml:space="preserve"> </w:t>
      </w:r>
      <w:r w:rsidR="002A7788" w:rsidRPr="0044196C">
        <w:rPr>
          <w:color w:val="000000" w:themeColor="text1"/>
        </w:rPr>
        <w:t>подозрении</w:t>
      </w:r>
      <w:r w:rsidR="002A7788" w:rsidRPr="0044196C">
        <w:rPr>
          <w:color w:val="000000" w:themeColor="text1"/>
          <w:lang w:val="en-US"/>
        </w:rPr>
        <w:t xml:space="preserve"> </w:t>
      </w:r>
      <w:r w:rsidR="002A7788" w:rsidRPr="0044196C">
        <w:rPr>
          <w:color w:val="000000" w:themeColor="text1"/>
        </w:rPr>
        <w:t>на</w:t>
      </w:r>
      <w:r w:rsidR="002A7788" w:rsidRPr="0044196C">
        <w:rPr>
          <w:color w:val="000000" w:themeColor="text1"/>
          <w:lang w:val="en-US"/>
        </w:rPr>
        <w:t xml:space="preserve"> </w:t>
      </w:r>
      <w:r w:rsidR="002A7788" w:rsidRPr="0044196C">
        <w:rPr>
          <w:color w:val="000000" w:themeColor="text1"/>
        </w:rPr>
        <w:t>изолированную</w:t>
      </w:r>
      <w:r w:rsidR="002A7788" w:rsidRPr="0044196C">
        <w:rPr>
          <w:color w:val="000000" w:themeColor="text1"/>
          <w:lang w:val="en-US"/>
        </w:rPr>
        <w:t xml:space="preserve"> </w:t>
      </w:r>
      <w:r w:rsidR="002A7788" w:rsidRPr="0044196C">
        <w:rPr>
          <w:color w:val="000000" w:themeColor="text1"/>
        </w:rPr>
        <w:t>амбулаторную</w:t>
      </w:r>
      <w:r w:rsidR="002A7788" w:rsidRPr="0044196C">
        <w:rPr>
          <w:color w:val="000000" w:themeColor="text1"/>
          <w:lang w:val="en-US"/>
        </w:rPr>
        <w:t xml:space="preserve"> </w:t>
      </w:r>
      <w:r w:rsidR="002A7788" w:rsidRPr="0044196C">
        <w:rPr>
          <w:color w:val="000000" w:themeColor="text1"/>
        </w:rPr>
        <w:t>АГ</w:t>
      </w:r>
      <w:r w:rsidR="002A7788" w:rsidRPr="0044196C">
        <w:rPr>
          <w:color w:val="000000" w:themeColor="text1"/>
          <w:lang w:val="en-US"/>
        </w:rPr>
        <w:t xml:space="preserve"> (</w:t>
      </w:r>
      <w:r w:rsidR="002A7788" w:rsidRPr="0044196C">
        <w:rPr>
          <w:color w:val="000000" w:themeColor="text1"/>
        </w:rPr>
        <w:t>при</w:t>
      </w:r>
      <w:r w:rsidR="002A7788" w:rsidRPr="0044196C">
        <w:rPr>
          <w:color w:val="000000" w:themeColor="text1"/>
          <w:lang w:val="en-US"/>
        </w:rPr>
        <w:t xml:space="preserve"> </w:t>
      </w:r>
      <w:r w:rsidR="002A7788" w:rsidRPr="0044196C">
        <w:rPr>
          <w:color w:val="000000" w:themeColor="text1"/>
        </w:rPr>
        <w:t>нормальном</w:t>
      </w:r>
      <w:r w:rsidR="002A7788" w:rsidRPr="0044196C">
        <w:rPr>
          <w:color w:val="000000" w:themeColor="text1"/>
          <w:lang w:val="en-US"/>
        </w:rPr>
        <w:t xml:space="preserve"> </w:t>
      </w:r>
      <w:r w:rsidR="002A7788" w:rsidRPr="0044196C">
        <w:rPr>
          <w:color w:val="000000" w:themeColor="text1"/>
        </w:rPr>
        <w:t>уровне</w:t>
      </w:r>
      <w:r w:rsidR="002A7788" w:rsidRPr="0044196C">
        <w:rPr>
          <w:color w:val="000000" w:themeColor="text1"/>
          <w:lang w:val="en-US"/>
        </w:rPr>
        <w:t xml:space="preserve"> </w:t>
      </w:r>
      <w:r w:rsidR="002A7788" w:rsidRPr="0044196C">
        <w:rPr>
          <w:color w:val="000000" w:themeColor="text1"/>
        </w:rPr>
        <w:t>АД</w:t>
      </w:r>
      <w:r w:rsidR="002A7788" w:rsidRPr="0044196C">
        <w:rPr>
          <w:color w:val="000000" w:themeColor="text1"/>
          <w:lang w:val="en-US"/>
        </w:rPr>
        <w:t xml:space="preserve"> </w:t>
      </w:r>
      <w:r w:rsidR="002A7788" w:rsidRPr="0044196C">
        <w:rPr>
          <w:color w:val="000000" w:themeColor="text1"/>
        </w:rPr>
        <w:t>при</w:t>
      </w:r>
      <w:r w:rsidR="002A7788" w:rsidRPr="0044196C">
        <w:rPr>
          <w:color w:val="000000" w:themeColor="text1"/>
          <w:lang w:val="en-US"/>
        </w:rPr>
        <w:t xml:space="preserve"> </w:t>
      </w:r>
      <w:r w:rsidR="002A7788" w:rsidRPr="0044196C">
        <w:rPr>
          <w:color w:val="000000" w:themeColor="text1"/>
        </w:rPr>
        <w:t>измерении</w:t>
      </w:r>
      <w:r w:rsidR="002A7788" w:rsidRPr="0044196C">
        <w:rPr>
          <w:color w:val="000000" w:themeColor="text1"/>
          <w:lang w:val="en-US"/>
        </w:rPr>
        <w:t xml:space="preserve"> </w:t>
      </w:r>
      <w:r w:rsidR="002A7788" w:rsidRPr="0044196C">
        <w:rPr>
          <w:color w:val="000000" w:themeColor="text1"/>
        </w:rPr>
        <w:t>врачом</w:t>
      </w:r>
      <w:r w:rsidR="002A7788" w:rsidRPr="0044196C">
        <w:rPr>
          <w:color w:val="000000" w:themeColor="text1"/>
          <w:lang w:val="en-US"/>
        </w:rPr>
        <w:t xml:space="preserve">, </w:t>
      </w:r>
      <w:r w:rsidR="002A7788" w:rsidRPr="0044196C">
        <w:rPr>
          <w:color w:val="000000" w:themeColor="text1"/>
        </w:rPr>
        <w:t>но</w:t>
      </w:r>
      <w:r w:rsidR="002A7788" w:rsidRPr="0044196C">
        <w:rPr>
          <w:color w:val="000000" w:themeColor="text1"/>
          <w:lang w:val="en-US"/>
        </w:rPr>
        <w:t xml:space="preserve"> </w:t>
      </w:r>
      <w:r w:rsidR="002A7788" w:rsidRPr="0044196C">
        <w:rPr>
          <w:color w:val="000000" w:themeColor="text1"/>
        </w:rPr>
        <w:t>повышенных</w:t>
      </w:r>
      <w:r w:rsidR="002A7788" w:rsidRPr="0044196C">
        <w:rPr>
          <w:color w:val="000000" w:themeColor="text1"/>
          <w:lang w:val="en-US"/>
        </w:rPr>
        <w:t xml:space="preserve"> </w:t>
      </w:r>
      <w:r w:rsidR="002A7788" w:rsidRPr="0044196C">
        <w:rPr>
          <w:color w:val="000000" w:themeColor="text1"/>
        </w:rPr>
        <w:t>его</w:t>
      </w:r>
      <w:r w:rsidR="002A7788" w:rsidRPr="0044196C">
        <w:rPr>
          <w:color w:val="000000" w:themeColor="text1"/>
          <w:lang w:val="en-US"/>
        </w:rPr>
        <w:t xml:space="preserve"> </w:t>
      </w:r>
      <w:r w:rsidR="002A7788" w:rsidRPr="0044196C">
        <w:rPr>
          <w:color w:val="000000" w:themeColor="text1"/>
        </w:rPr>
        <w:t>значениях</w:t>
      </w:r>
      <w:r w:rsidR="002A7788" w:rsidRPr="0044196C">
        <w:rPr>
          <w:color w:val="000000" w:themeColor="text1"/>
          <w:lang w:val="en-US"/>
        </w:rPr>
        <w:t xml:space="preserve"> </w:t>
      </w:r>
      <w:r w:rsidR="002A7788" w:rsidRPr="0044196C">
        <w:rPr>
          <w:color w:val="000000" w:themeColor="text1"/>
        </w:rPr>
        <w:t>при</w:t>
      </w:r>
      <w:r w:rsidR="002A7788" w:rsidRPr="0044196C">
        <w:rPr>
          <w:color w:val="000000" w:themeColor="text1"/>
          <w:lang w:val="en-US"/>
        </w:rPr>
        <w:t xml:space="preserve"> </w:t>
      </w:r>
      <w:r w:rsidR="002A7788" w:rsidRPr="0044196C">
        <w:rPr>
          <w:color w:val="000000" w:themeColor="text1"/>
        </w:rPr>
        <w:t>СКАД</w:t>
      </w:r>
      <w:r w:rsidR="002A7788" w:rsidRPr="0044196C">
        <w:rPr>
          <w:color w:val="000000" w:themeColor="text1"/>
          <w:lang w:val="en-US"/>
        </w:rPr>
        <w:t xml:space="preserve"> </w:t>
      </w:r>
      <w:r w:rsidR="002A7788" w:rsidRPr="0044196C">
        <w:rPr>
          <w:color w:val="000000" w:themeColor="text1"/>
        </w:rPr>
        <w:t>или</w:t>
      </w:r>
      <w:r w:rsidR="002A7788" w:rsidRPr="0044196C">
        <w:rPr>
          <w:color w:val="000000" w:themeColor="text1"/>
          <w:lang w:val="en-US"/>
        </w:rPr>
        <w:t xml:space="preserve"> </w:t>
      </w:r>
      <w:r w:rsidR="002A7788" w:rsidRPr="0044196C">
        <w:rPr>
          <w:color w:val="000000" w:themeColor="text1"/>
        </w:rPr>
        <w:t>наличии</w:t>
      </w:r>
      <w:r w:rsidR="002A7788" w:rsidRPr="0044196C">
        <w:rPr>
          <w:color w:val="000000" w:themeColor="text1"/>
          <w:lang w:val="en-US"/>
        </w:rPr>
        <w:t xml:space="preserve"> </w:t>
      </w:r>
      <w:r w:rsidR="002A7788" w:rsidRPr="0044196C">
        <w:rPr>
          <w:color w:val="000000" w:themeColor="text1"/>
        </w:rPr>
        <w:t>гипертрофии</w:t>
      </w:r>
      <w:r w:rsidR="002A7788" w:rsidRPr="0044196C">
        <w:rPr>
          <w:color w:val="000000" w:themeColor="text1"/>
          <w:lang w:val="en-US"/>
        </w:rPr>
        <w:t xml:space="preserve"> </w:t>
      </w:r>
      <w:r w:rsidR="002A7788" w:rsidRPr="0044196C">
        <w:rPr>
          <w:color w:val="000000" w:themeColor="text1"/>
        </w:rPr>
        <w:t>миокарда</w:t>
      </w:r>
      <w:r w:rsidR="002A7788" w:rsidRPr="0044196C">
        <w:rPr>
          <w:color w:val="000000" w:themeColor="text1"/>
          <w:lang w:val="en-US"/>
        </w:rPr>
        <w:t xml:space="preserve"> </w:t>
      </w:r>
      <w:r w:rsidR="002A7788" w:rsidRPr="0044196C">
        <w:rPr>
          <w:color w:val="000000" w:themeColor="text1"/>
        </w:rPr>
        <w:t>левого</w:t>
      </w:r>
      <w:r w:rsidR="002A7788" w:rsidRPr="0044196C">
        <w:rPr>
          <w:color w:val="000000" w:themeColor="text1"/>
          <w:lang w:val="en-US"/>
        </w:rPr>
        <w:t xml:space="preserve"> </w:t>
      </w:r>
      <w:r w:rsidR="002A7788" w:rsidRPr="0044196C">
        <w:rPr>
          <w:color w:val="000000" w:themeColor="text1"/>
        </w:rPr>
        <w:t>желудочка</w:t>
      </w:r>
      <w:r w:rsidR="002A7788" w:rsidRPr="0044196C">
        <w:rPr>
          <w:color w:val="000000" w:themeColor="text1"/>
          <w:lang w:val="en-US"/>
        </w:rPr>
        <w:t xml:space="preserve">, </w:t>
      </w:r>
      <w:r w:rsidR="002A7788" w:rsidRPr="0044196C">
        <w:rPr>
          <w:color w:val="000000" w:themeColor="text1"/>
        </w:rPr>
        <w:t>гипертонической</w:t>
      </w:r>
      <w:r w:rsidR="002A7788" w:rsidRPr="0044196C">
        <w:rPr>
          <w:color w:val="000000" w:themeColor="text1"/>
          <w:lang w:val="en-US"/>
        </w:rPr>
        <w:t xml:space="preserve"> </w:t>
      </w:r>
      <w:r w:rsidR="002A7788" w:rsidRPr="0044196C">
        <w:rPr>
          <w:color w:val="000000" w:themeColor="text1"/>
        </w:rPr>
        <w:t>ретинопатии</w:t>
      </w:r>
      <w:r w:rsidR="002A7788" w:rsidRPr="0044196C">
        <w:rPr>
          <w:color w:val="000000" w:themeColor="text1"/>
          <w:lang w:val="en-US"/>
        </w:rPr>
        <w:t xml:space="preserve">): </w:t>
      </w:r>
      <w:r w:rsidR="002A7788" w:rsidRPr="0044196C">
        <w:rPr>
          <w:color w:val="000000" w:themeColor="text1"/>
        </w:rPr>
        <w:t>при</w:t>
      </w:r>
      <w:r w:rsidR="002A7788" w:rsidRPr="0044196C">
        <w:rPr>
          <w:color w:val="000000" w:themeColor="text1"/>
          <w:lang w:val="en-US"/>
        </w:rPr>
        <w:t xml:space="preserve"> </w:t>
      </w:r>
      <w:r w:rsidR="002A7788" w:rsidRPr="0044196C">
        <w:rPr>
          <w:color w:val="000000" w:themeColor="text1"/>
        </w:rPr>
        <w:t>первичном</w:t>
      </w:r>
      <w:r w:rsidR="002A7788" w:rsidRPr="0044196C">
        <w:rPr>
          <w:color w:val="000000" w:themeColor="text1"/>
          <w:lang w:val="en-US"/>
        </w:rPr>
        <w:t xml:space="preserve"> </w:t>
      </w:r>
      <w:r w:rsidR="002A7788" w:rsidRPr="0044196C">
        <w:rPr>
          <w:color w:val="000000" w:themeColor="text1"/>
        </w:rPr>
        <w:t>обследовании</w:t>
      </w:r>
      <w:r w:rsidR="002A7788" w:rsidRPr="0044196C">
        <w:rPr>
          <w:color w:val="000000" w:themeColor="text1"/>
          <w:lang w:val="en-US"/>
        </w:rPr>
        <w:t xml:space="preserve">, </w:t>
      </w:r>
      <w:r w:rsidR="002A7788" w:rsidRPr="0044196C">
        <w:rPr>
          <w:color w:val="000000" w:themeColor="text1"/>
        </w:rPr>
        <w:t>в</w:t>
      </w:r>
      <w:r w:rsidR="002A7788" w:rsidRPr="0044196C">
        <w:rPr>
          <w:color w:val="000000" w:themeColor="text1"/>
          <w:lang w:val="en-US"/>
        </w:rPr>
        <w:t xml:space="preserve"> </w:t>
      </w:r>
      <w:r w:rsidR="002A7788" w:rsidRPr="0044196C">
        <w:rPr>
          <w:color w:val="000000" w:themeColor="text1"/>
        </w:rPr>
        <w:t>дальнейшем</w:t>
      </w:r>
      <w:r w:rsidR="002A7788" w:rsidRPr="0044196C">
        <w:rPr>
          <w:color w:val="000000" w:themeColor="text1"/>
          <w:lang w:val="en-US"/>
        </w:rPr>
        <w:t xml:space="preserve"> </w:t>
      </w:r>
      <w:r w:rsidR="00AD2A1C" w:rsidRPr="0044196C">
        <w:rPr>
          <w:color w:val="000000" w:themeColor="text1"/>
          <w:lang w:val="en-US"/>
        </w:rPr>
        <w:t>–</w:t>
      </w:r>
      <w:r w:rsidR="00B971C6" w:rsidRPr="0044196C">
        <w:rPr>
          <w:color w:val="000000" w:themeColor="text1"/>
          <w:lang w:val="en-US"/>
        </w:rPr>
        <w:t xml:space="preserve"> </w:t>
      </w:r>
      <w:r w:rsidR="00AD2A1C" w:rsidRPr="0044196C">
        <w:rPr>
          <w:color w:val="000000" w:themeColor="text1"/>
        </w:rPr>
        <w:t>один</w:t>
      </w:r>
      <w:r w:rsidR="00AD2A1C" w:rsidRPr="0044196C">
        <w:rPr>
          <w:color w:val="000000" w:themeColor="text1"/>
          <w:lang w:val="en-US"/>
        </w:rPr>
        <w:t xml:space="preserve"> </w:t>
      </w:r>
      <w:r w:rsidR="00AD2A1C" w:rsidRPr="0044196C">
        <w:rPr>
          <w:color w:val="000000" w:themeColor="text1"/>
        </w:rPr>
        <w:t>раз</w:t>
      </w:r>
      <w:r w:rsidR="00AD2A1C" w:rsidRPr="0044196C">
        <w:rPr>
          <w:color w:val="000000" w:themeColor="text1"/>
          <w:lang w:val="en-US"/>
        </w:rPr>
        <w:t xml:space="preserve"> </w:t>
      </w:r>
      <w:r w:rsidR="00AD2A1C" w:rsidRPr="0044196C">
        <w:rPr>
          <w:color w:val="000000" w:themeColor="text1"/>
        </w:rPr>
        <w:t>в</w:t>
      </w:r>
      <w:r w:rsidR="00AD2A1C" w:rsidRPr="0044196C">
        <w:rPr>
          <w:color w:val="000000" w:themeColor="text1"/>
          <w:lang w:val="en-US"/>
        </w:rPr>
        <w:t xml:space="preserve"> </w:t>
      </w:r>
      <w:r w:rsidR="00AD2A1C" w:rsidRPr="0044196C">
        <w:rPr>
          <w:color w:val="000000" w:themeColor="text1"/>
        </w:rPr>
        <w:t>год</w:t>
      </w:r>
      <w:r w:rsidR="00AD2A1C" w:rsidRPr="0044196C">
        <w:rPr>
          <w:color w:val="000000" w:themeColor="text1"/>
          <w:lang w:val="en-US"/>
        </w:rPr>
        <w:t xml:space="preserve"> </w:t>
      </w:r>
      <w:r w:rsidR="00AD2A1C" w:rsidRPr="0044196C">
        <w:rPr>
          <w:color w:val="000000" w:themeColor="text1"/>
        </w:rPr>
        <w:t>или</w:t>
      </w:r>
      <w:r w:rsidR="00AD2A1C" w:rsidRPr="0044196C">
        <w:rPr>
          <w:color w:val="000000" w:themeColor="text1"/>
          <w:lang w:val="en-US"/>
        </w:rPr>
        <w:t xml:space="preserve"> </w:t>
      </w:r>
      <w:r w:rsidR="00AD2A1C" w:rsidRPr="0044196C">
        <w:rPr>
          <w:color w:val="000000" w:themeColor="text1"/>
        </w:rPr>
        <w:t>при</w:t>
      </w:r>
      <w:r w:rsidR="00AD2A1C" w:rsidRPr="0044196C">
        <w:rPr>
          <w:color w:val="000000" w:themeColor="text1"/>
          <w:lang w:val="en-US"/>
        </w:rPr>
        <w:t xml:space="preserve"> </w:t>
      </w:r>
      <w:r w:rsidR="00AD2A1C" w:rsidRPr="0044196C">
        <w:rPr>
          <w:color w:val="000000" w:themeColor="text1"/>
        </w:rPr>
        <w:t>изменении</w:t>
      </w:r>
      <w:r w:rsidR="00AD2A1C" w:rsidRPr="0044196C">
        <w:rPr>
          <w:color w:val="000000" w:themeColor="text1"/>
          <w:lang w:val="en-US"/>
        </w:rPr>
        <w:t xml:space="preserve"> </w:t>
      </w:r>
      <w:r w:rsidR="00AD2A1C" w:rsidRPr="0044196C">
        <w:rPr>
          <w:color w:val="000000" w:themeColor="text1"/>
        </w:rPr>
        <w:t>течения</w:t>
      </w:r>
      <w:r w:rsidR="00AD2A1C" w:rsidRPr="0044196C">
        <w:rPr>
          <w:color w:val="000000" w:themeColor="text1"/>
          <w:lang w:val="en-US"/>
        </w:rPr>
        <w:t xml:space="preserve"> </w:t>
      </w:r>
      <w:r w:rsidR="00AD2A1C" w:rsidRPr="0044196C">
        <w:rPr>
          <w:color w:val="000000" w:themeColor="text1"/>
        </w:rPr>
        <w:t>АГ</w:t>
      </w:r>
      <w:r w:rsidR="00AD2A1C" w:rsidRPr="0044196C">
        <w:rPr>
          <w:color w:val="000000" w:themeColor="text1"/>
          <w:lang w:val="en-US"/>
        </w:rPr>
        <w:t xml:space="preserve"> </w:t>
      </w:r>
      <w:r w:rsidR="00AD2A1C" w:rsidRPr="0044196C">
        <w:rPr>
          <w:color w:val="000000" w:themeColor="text1"/>
        </w:rPr>
        <w:t>и</w:t>
      </w:r>
      <w:r w:rsidR="00AD2A1C" w:rsidRPr="0044196C">
        <w:rPr>
          <w:color w:val="000000" w:themeColor="text1"/>
          <w:lang w:val="en-US"/>
        </w:rPr>
        <w:t xml:space="preserve"> </w:t>
      </w:r>
      <w:r w:rsidR="00AD2A1C" w:rsidRPr="0044196C">
        <w:rPr>
          <w:color w:val="000000" w:themeColor="text1"/>
        </w:rPr>
        <w:t>ответа</w:t>
      </w:r>
      <w:r w:rsidR="00AD2A1C" w:rsidRPr="0044196C">
        <w:rPr>
          <w:color w:val="000000" w:themeColor="text1"/>
          <w:lang w:val="en-US"/>
        </w:rPr>
        <w:t xml:space="preserve"> </w:t>
      </w:r>
      <w:r w:rsidR="00AD2A1C" w:rsidRPr="0044196C">
        <w:rPr>
          <w:color w:val="000000" w:themeColor="text1"/>
        </w:rPr>
        <w:t>на</w:t>
      </w:r>
      <w:r w:rsidR="00AD2A1C" w:rsidRPr="0044196C">
        <w:rPr>
          <w:color w:val="000000" w:themeColor="text1"/>
          <w:lang w:val="en-US"/>
        </w:rPr>
        <w:t xml:space="preserve"> </w:t>
      </w:r>
      <w:r w:rsidR="00AD2A1C" w:rsidRPr="0044196C">
        <w:rPr>
          <w:color w:val="000000" w:themeColor="text1"/>
        </w:rPr>
        <w:t>терапию</w:t>
      </w:r>
      <w:r w:rsidR="00AD2A1C" w:rsidRPr="0044196C">
        <w:rPr>
          <w:color w:val="000000" w:themeColor="text1"/>
          <w:lang w:val="en-US"/>
        </w:rPr>
        <w:t xml:space="preserve"> (</w:t>
      </w:r>
      <w:r w:rsidR="00AD2A1C" w:rsidRPr="0044196C">
        <w:rPr>
          <w:color w:val="000000" w:themeColor="text1"/>
        </w:rPr>
        <w:t>резком</w:t>
      </w:r>
      <w:r w:rsidR="00AD2A1C" w:rsidRPr="0044196C">
        <w:rPr>
          <w:color w:val="000000" w:themeColor="text1"/>
          <w:lang w:val="en-US"/>
        </w:rPr>
        <w:t xml:space="preserve"> </w:t>
      </w:r>
      <w:r w:rsidR="00AD2A1C" w:rsidRPr="0044196C">
        <w:rPr>
          <w:color w:val="000000" w:themeColor="text1"/>
        </w:rPr>
        <w:t>нарастание</w:t>
      </w:r>
      <w:r w:rsidR="00AD2A1C" w:rsidRPr="0044196C">
        <w:rPr>
          <w:color w:val="000000" w:themeColor="text1"/>
          <w:lang w:val="en-US"/>
        </w:rPr>
        <w:t xml:space="preserve"> </w:t>
      </w:r>
      <w:r w:rsidR="00AD2A1C" w:rsidRPr="0044196C">
        <w:rPr>
          <w:color w:val="000000" w:themeColor="text1"/>
        </w:rPr>
        <w:t>тяжести</w:t>
      </w:r>
      <w:r w:rsidR="00AD2A1C" w:rsidRPr="0044196C">
        <w:rPr>
          <w:color w:val="000000" w:themeColor="text1"/>
          <w:lang w:val="en-US"/>
        </w:rPr>
        <w:t xml:space="preserve"> </w:t>
      </w:r>
      <w:r w:rsidR="00AD2A1C" w:rsidRPr="0044196C">
        <w:rPr>
          <w:color w:val="000000" w:themeColor="text1"/>
        </w:rPr>
        <w:t>АГ</w:t>
      </w:r>
      <w:r w:rsidR="00AD2A1C" w:rsidRPr="0044196C">
        <w:rPr>
          <w:color w:val="000000" w:themeColor="text1"/>
          <w:lang w:val="en-US"/>
        </w:rPr>
        <w:t xml:space="preserve">, </w:t>
      </w:r>
      <w:r w:rsidR="00AD2A1C" w:rsidRPr="0044196C">
        <w:rPr>
          <w:color w:val="000000" w:themeColor="text1"/>
        </w:rPr>
        <w:t>развитии</w:t>
      </w:r>
      <w:r w:rsidR="00AD2A1C" w:rsidRPr="0044196C">
        <w:rPr>
          <w:color w:val="000000" w:themeColor="text1"/>
          <w:lang w:val="en-US"/>
        </w:rPr>
        <w:t xml:space="preserve"> </w:t>
      </w:r>
      <w:r w:rsidR="00AD2A1C" w:rsidRPr="0044196C">
        <w:rPr>
          <w:color w:val="000000" w:themeColor="text1"/>
        </w:rPr>
        <w:t>резистентности</w:t>
      </w:r>
      <w:r w:rsidR="00AD2A1C" w:rsidRPr="0044196C">
        <w:rPr>
          <w:color w:val="000000" w:themeColor="text1"/>
          <w:lang w:val="en-US"/>
        </w:rPr>
        <w:t xml:space="preserve"> </w:t>
      </w:r>
      <w:r w:rsidR="00AD2A1C" w:rsidRPr="0044196C">
        <w:rPr>
          <w:color w:val="000000" w:themeColor="text1"/>
        </w:rPr>
        <w:t>к</w:t>
      </w:r>
      <w:r w:rsidR="00AD2A1C" w:rsidRPr="0044196C">
        <w:rPr>
          <w:color w:val="000000" w:themeColor="text1"/>
          <w:lang w:val="en-US"/>
        </w:rPr>
        <w:t xml:space="preserve"> </w:t>
      </w:r>
      <w:r w:rsidR="00AD2A1C" w:rsidRPr="0044196C">
        <w:rPr>
          <w:color w:val="000000" w:themeColor="text1"/>
        </w:rPr>
        <w:t>лечению</w:t>
      </w:r>
      <w:r w:rsidR="00AD2A1C" w:rsidRPr="0044196C">
        <w:rPr>
          <w:color w:val="000000" w:themeColor="text1"/>
          <w:lang w:val="en-US"/>
        </w:rPr>
        <w:t xml:space="preserve">, </w:t>
      </w:r>
      <w:r w:rsidR="00AD2A1C" w:rsidRPr="0044196C">
        <w:rPr>
          <w:color w:val="000000" w:themeColor="text1"/>
        </w:rPr>
        <w:t>появлении</w:t>
      </w:r>
      <w:r w:rsidR="00AD2A1C" w:rsidRPr="0044196C">
        <w:rPr>
          <w:color w:val="000000" w:themeColor="text1"/>
          <w:lang w:val="en-US"/>
        </w:rPr>
        <w:t xml:space="preserve"> </w:t>
      </w:r>
      <w:r w:rsidR="00AD2A1C" w:rsidRPr="0044196C">
        <w:rPr>
          <w:color w:val="000000" w:themeColor="text1"/>
        </w:rPr>
        <w:t>нестабильности</w:t>
      </w:r>
      <w:r w:rsidR="00AD2A1C" w:rsidRPr="0044196C">
        <w:rPr>
          <w:color w:val="000000" w:themeColor="text1"/>
          <w:lang w:val="en-US"/>
        </w:rPr>
        <w:t xml:space="preserve"> </w:t>
      </w:r>
      <w:r w:rsidR="00AD2A1C" w:rsidRPr="0044196C">
        <w:rPr>
          <w:color w:val="000000" w:themeColor="text1"/>
        </w:rPr>
        <w:t>АД</w:t>
      </w:r>
      <w:r w:rsidR="00AD2A1C" w:rsidRPr="0044196C">
        <w:rPr>
          <w:color w:val="000000" w:themeColor="text1"/>
          <w:lang w:val="en-US"/>
        </w:rPr>
        <w:t xml:space="preserve"> </w:t>
      </w:r>
      <w:r w:rsidR="00AD2A1C" w:rsidRPr="0044196C">
        <w:rPr>
          <w:color w:val="000000" w:themeColor="text1"/>
        </w:rPr>
        <w:t>по</w:t>
      </w:r>
      <w:r w:rsidR="00AD2A1C" w:rsidRPr="0044196C">
        <w:rPr>
          <w:color w:val="000000" w:themeColor="text1"/>
          <w:lang w:val="en-US"/>
        </w:rPr>
        <w:t xml:space="preserve"> </w:t>
      </w:r>
      <w:r w:rsidR="00AD2A1C" w:rsidRPr="0044196C">
        <w:rPr>
          <w:color w:val="000000" w:themeColor="text1"/>
        </w:rPr>
        <w:t>данным</w:t>
      </w:r>
      <w:r w:rsidR="00AD2A1C" w:rsidRPr="0044196C">
        <w:rPr>
          <w:color w:val="000000" w:themeColor="text1"/>
          <w:lang w:val="en-US"/>
        </w:rPr>
        <w:t xml:space="preserve"> </w:t>
      </w:r>
      <w:r w:rsidR="00AD2A1C" w:rsidRPr="0044196C">
        <w:rPr>
          <w:color w:val="000000" w:themeColor="text1"/>
        </w:rPr>
        <w:t>самоизмерений</w:t>
      </w:r>
      <w:r w:rsidR="00AD2A1C" w:rsidRPr="0044196C">
        <w:rPr>
          <w:color w:val="000000" w:themeColor="text1"/>
          <w:lang w:val="en-US"/>
        </w:rPr>
        <w:t xml:space="preserve">, </w:t>
      </w:r>
      <w:r w:rsidR="00AD2A1C" w:rsidRPr="0044196C">
        <w:rPr>
          <w:color w:val="000000" w:themeColor="text1"/>
        </w:rPr>
        <w:t>появлении</w:t>
      </w:r>
      <w:r w:rsidR="00AD2A1C" w:rsidRPr="0044196C">
        <w:rPr>
          <w:color w:val="000000" w:themeColor="text1"/>
          <w:lang w:val="en-US"/>
        </w:rPr>
        <w:t xml:space="preserve"> </w:t>
      </w:r>
      <w:r w:rsidR="00AD2A1C" w:rsidRPr="0044196C">
        <w:rPr>
          <w:color w:val="000000" w:themeColor="text1"/>
        </w:rPr>
        <w:t>симптомов</w:t>
      </w:r>
      <w:r w:rsidR="00AD2A1C" w:rsidRPr="0044196C">
        <w:rPr>
          <w:color w:val="000000" w:themeColor="text1"/>
          <w:lang w:val="en-US"/>
        </w:rPr>
        <w:t xml:space="preserve"> </w:t>
      </w:r>
      <w:r w:rsidR="00AD2A1C" w:rsidRPr="0044196C">
        <w:rPr>
          <w:color w:val="000000" w:themeColor="text1"/>
        </w:rPr>
        <w:t>гипотонии</w:t>
      </w:r>
      <w:r w:rsidR="00AD2A1C" w:rsidRPr="0044196C">
        <w:rPr>
          <w:color w:val="000000" w:themeColor="text1"/>
          <w:lang w:val="en-US"/>
        </w:rPr>
        <w:t>).</w:t>
      </w:r>
    </w:p>
    <w:p w:rsidR="00C73A28" w:rsidRPr="0044196C" w:rsidRDefault="00AD2A1C" w:rsidP="00022D08">
      <w:pPr>
        <w:rPr>
          <w:color w:val="000000" w:themeColor="text1"/>
        </w:rPr>
      </w:pPr>
      <w:r w:rsidRPr="0044196C">
        <w:rPr>
          <w:color w:val="000000" w:themeColor="text1"/>
        </w:rPr>
        <w:t xml:space="preserve">Проведение СМАД не исключает </w:t>
      </w:r>
      <w:r w:rsidRPr="0044196C">
        <w:rPr>
          <w:b/>
          <w:color w:val="000000" w:themeColor="text1"/>
        </w:rPr>
        <w:t>необходимость регуля</w:t>
      </w:r>
      <w:r w:rsidR="006666C8" w:rsidRPr="0044196C">
        <w:rPr>
          <w:b/>
          <w:color w:val="000000" w:themeColor="text1"/>
        </w:rPr>
        <w:t>рного СКАД пациентом</w:t>
      </w:r>
      <w:r w:rsidR="006666C8" w:rsidRPr="0044196C">
        <w:rPr>
          <w:color w:val="000000" w:themeColor="text1"/>
        </w:rPr>
        <w:t xml:space="preserve">. </w:t>
      </w:r>
      <w:r w:rsidR="008B2645" w:rsidRPr="0044196C">
        <w:rPr>
          <w:color w:val="000000" w:themeColor="text1"/>
        </w:rPr>
        <w:t xml:space="preserve">Для СКАД рекомендуются аппараты с осциллометрическим принципом измерения АД, более удобные для самоконтроля и не требующие специальных навыков измерения. Однако  от врача требуется убедиться в правильности самоизмерения АД пациентом, проконтролировав его технику и проведя контрольное измерение методом Н.С.Короткова; при необходимости провести его обучение. </w:t>
      </w:r>
      <w:r w:rsidR="006666C8" w:rsidRPr="0044196C">
        <w:rPr>
          <w:color w:val="000000" w:themeColor="text1"/>
        </w:rPr>
        <w:t xml:space="preserve">Больные ХБП с наличием АГ должны самостоятельно контролировать АД не реже 2-3 раз в сутки. Полученные результаты </w:t>
      </w:r>
      <w:r w:rsidR="00B0071A" w:rsidRPr="0044196C">
        <w:rPr>
          <w:color w:val="000000" w:themeColor="text1"/>
        </w:rPr>
        <w:t>следует фиксировать</w:t>
      </w:r>
      <w:r w:rsidR="006666C8" w:rsidRPr="0044196C">
        <w:rPr>
          <w:color w:val="000000" w:themeColor="text1"/>
        </w:rPr>
        <w:t xml:space="preserve"> в </w:t>
      </w:r>
      <w:r w:rsidR="006666C8" w:rsidRPr="0044196C">
        <w:rPr>
          <w:b/>
          <w:color w:val="000000" w:themeColor="text1"/>
        </w:rPr>
        <w:t>дневнике самоконтроля</w:t>
      </w:r>
      <w:r w:rsidR="00B0071A" w:rsidRPr="0044196C">
        <w:rPr>
          <w:color w:val="000000" w:themeColor="text1"/>
        </w:rPr>
        <w:t xml:space="preserve"> и представлять</w:t>
      </w:r>
      <w:r w:rsidR="006666C8" w:rsidRPr="0044196C">
        <w:rPr>
          <w:color w:val="000000" w:themeColor="text1"/>
        </w:rPr>
        <w:t xml:space="preserve"> лечащему врачу при каждом обследовании. На основании результатов СКАД и </w:t>
      </w:r>
      <w:r w:rsidR="008B2645" w:rsidRPr="0044196C">
        <w:rPr>
          <w:color w:val="000000" w:themeColor="text1"/>
        </w:rPr>
        <w:t xml:space="preserve">контрольного измерения АД врачом выносится заключение об эффективности антигипертензивной терапии, ее адекватности определенным для данного больного целевым значениям АД. </w:t>
      </w:r>
    </w:p>
    <w:p w:rsidR="00EC6B9B" w:rsidRPr="0044196C" w:rsidRDefault="00B0071A" w:rsidP="00EA54B5">
      <w:pPr>
        <w:pStyle w:val="a0"/>
        <w:rPr>
          <w:color w:val="000000" w:themeColor="text1"/>
        </w:rPr>
      </w:pPr>
      <w:bookmarkStart w:id="30" w:name="_Ref279578292"/>
      <w:bookmarkStart w:id="31" w:name="_Toc279732200"/>
      <w:r w:rsidRPr="0044196C">
        <w:rPr>
          <w:color w:val="000000" w:themeColor="text1"/>
        </w:rPr>
        <w:lastRenderedPageBreak/>
        <w:t xml:space="preserve">Сочетание признаков ХБП и АГ </w:t>
      </w:r>
      <w:r w:rsidR="00EC6B9B" w:rsidRPr="0044196C">
        <w:rPr>
          <w:color w:val="000000" w:themeColor="text1"/>
        </w:rPr>
        <w:t xml:space="preserve">требует исключения </w:t>
      </w:r>
      <w:r w:rsidR="009A295F" w:rsidRPr="0044196C">
        <w:rPr>
          <w:color w:val="000000" w:themeColor="text1"/>
        </w:rPr>
        <w:t>заболевания</w:t>
      </w:r>
      <w:r w:rsidR="00EC6B9B" w:rsidRPr="0044196C">
        <w:rPr>
          <w:color w:val="000000" w:themeColor="text1"/>
        </w:rPr>
        <w:t xml:space="preserve"> почечной артерии, котор</w:t>
      </w:r>
      <w:r w:rsidR="009A295F" w:rsidRPr="0044196C">
        <w:rPr>
          <w:color w:val="000000" w:themeColor="text1"/>
        </w:rPr>
        <w:t>ое</w:t>
      </w:r>
      <w:r w:rsidR="00EC6B9B" w:rsidRPr="0044196C">
        <w:rPr>
          <w:color w:val="000000" w:themeColor="text1"/>
        </w:rPr>
        <w:t xml:space="preserve">  может быть как первичной причиной  повышения АД и нарушения функции почек, так и развиваться на фоне уже существующей ХБП (диабетической нефропатии, гипертонической болезни с поражением почек и др.)</w:t>
      </w:r>
      <w:r w:rsidR="00933292" w:rsidRPr="0044196C">
        <w:rPr>
          <w:color w:val="000000" w:themeColor="text1"/>
        </w:rPr>
        <w:t xml:space="preserve"> (НГ)</w:t>
      </w:r>
      <w:r w:rsidR="00EC6B9B" w:rsidRPr="0044196C">
        <w:rPr>
          <w:color w:val="000000" w:themeColor="text1"/>
        </w:rPr>
        <w:t>.</w:t>
      </w:r>
      <w:bookmarkEnd w:id="30"/>
      <w:bookmarkEnd w:id="31"/>
    </w:p>
    <w:p w:rsidR="00EA54B5" w:rsidRPr="0044196C" w:rsidRDefault="009A295F" w:rsidP="00EA54B5">
      <w:pPr>
        <w:tabs>
          <w:tab w:val="left" w:pos="3573"/>
        </w:tabs>
        <w:rPr>
          <w:rFonts w:cs="Times New Roman"/>
          <w:color w:val="000000" w:themeColor="text1"/>
        </w:rPr>
      </w:pPr>
      <w:r w:rsidRPr="0044196C">
        <w:rPr>
          <w:rFonts w:cs="Times New Roman"/>
          <w:color w:val="000000" w:themeColor="text1"/>
        </w:rPr>
        <w:t>Наиболее частыми причинами поражения почечных артерий явля</w:t>
      </w:r>
      <w:r w:rsidR="00487C4B" w:rsidRPr="0044196C">
        <w:rPr>
          <w:rFonts w:cs="Times New Roman"/>
          <w:color w:val="000000" w:themeColor="text1"/>
        </w:rPr>
        <w:t>ю</w:t>
      </w:r>
      <w:r w:rsidRPr="0044196C">
        <w:rPr>
          <w:rFonts w:cs="Times New Roman"/>
          <w:color w:val="000000" w:themeColor="text1"/>
        </w:rPr>
        <w:t>тся фибромускулярная дисплазия и атеросклероз</w:t>
      </w:r>
      <w:r w:rsidR="00A60342" w:rsidRPr="0044196C">
        <w:rPr>
          <w:rFonts w:cs="Times New Roman"/>
          <w:color w:val="000000" w:themeColor="text1"/>
        </w:rPr>
        <w:t>; более редкие причины – системные васкулиты, антифосфолипидный синдром</w:t>
      </w:r>
      <w:r w:rsidR="00913322" w:rsidRPr="0044196C">
        <w:rPr>
          <w:rFonts w:cs="Times New Roman"/>
          <w:color w:val="000000" w:themeColor="text1"/>
        </w:rPr>
        <w:t>. Бессимптомный атеросклеротический стеноз почечной артерии (СПА) встречается у 1,7% условно здорового населения, фибромускулярная дисплазия – у 6,6%</w:t>
      </w:r>
      <w:r w:rsidR="00CC2B3A" w:rsidRPr="0044196C">
        <w:rPr>
          <w:rFonts w:cs="Times New Roman"/>
          <w:color w:val="000000" w:themeColor="text1"/>
        </w:rPr>
        <w:t xml:space="preserve"> </w:t>
      </w:r>
      <w:r w:rsidR="007D3F39" w:rsidRPr="0044196C">
        <w:rPr>
          <w:rFonts w:cs="Times New Roman"/>
          <w:color w:val="000000" w:themeColor="text1"/>
        </w:rPr>
        <w:t>[]</w:t>
      </w:r>
      <w:r w:rsidR="00913322" w:rsidRPr="0044196C">
        <w:rPr>
          <w:rFonts w:cs="Times New Roman"/>
          <w:color w:val="000000" w:themeColor="text1"/>
        </w:rPr>
        <w:t xml:space="preserve">. Среди лиц с резистентной артериальной гипертонией частота </w:t>
      </w:r>
      <w:r w:rsidR="00487C4B" w:rsidRPr="0044196C">
        <w:rPr>
          <w:rFonts w:cs="Times New Roman"/>
          <w:color w:val="000000" w:themeColor="text1"/>
        </w:rPr>
        <w:t>СПА достигает 20%</w:t>
      </w:r>
      <w:r w:rsidR="00CC2B3A" w:rsidRPr="0044196C">
        <w:rPr>
          <w:rFonts w:cs="Times New Roman"/>
          <w:color w:val="000000" w:themeColor="text1"/>
        </w:rPr>
        <w:t xml:space="preserve"> </w:t>
      </w:r>
      <w:r w:rsidR="007D3F39" w:rsidRPr="0044196C">
        <w:rPr>
          <w:rFonts w:cs="Times New Roman"/>
          <w:color w:val="000000" w:themeColor="text1"/>
        </w:rPr>
        <w:t>[]</w:t>
      </w:r>
      <w:r w:rsidR="00487C4B" w:rsidRPr="0044196C">
        <w:rPr>
          <w:rFonts w:cs="Times New Roman"/>
          <w:color w:val="000000" w:themeColor="text1"/>
        </w:rPr>
        <w:t>. Атеросклеротический СПА является одной из ведущих причин ТПН у пожилых</w:t>
      </w:r>
      <w:r w:rsidR="00CC2B3A" w:rsidRPr="0044196C">
        <w:rPr>
          <w:rFonts w:cs="Times New Roman"/>
          <w:color w:val="000000" w:themeColor="text1"/>
        </w:rPr>
        <w:t xml:space="preserve"> </w:t>
      </w:r>
      <w:r w:rsidR="007D3F39" w:rsidRPr="0044196C">
        <w:rPr>
          <w:rFonts w:cs="Times New Roman"/>
          <w:color w:val="000000" w:themeColor="text1"/>
        </w:rPr>
        <w:t>[]</w:t>
      </w:r>
      <w:r w:rsidR="00487C4B" w:rsidRPr="0044196C">
        <w:rPr>
          <w:rFonts w:cs="Times New Roman"/>
          <w:color w:val="000000" w:themeColor="text1"/>
        </w:rPr>
        <w:t xml:space="preserve">. </w:t>
      </w:r>
      <w:r w:rsidR="00927982" w:rsidRPr="0044196C">
        <w:rPr>
          <w:rFonts w:cs="Times New Roman"/>
          <w:color w:val="000000" w:themeColor="text1"/>
        </w:rPr>
        <w:t>В то же время наличие снижения функции почек, сахарного диабета является фактором риска ускоренного развития атеросклероза. Таким образом</w:t>
      </w:r>
      <w:r w:rsidR="00D63451" w:rsidRPr="0044196C">
        <w:rPr>
          <w:rFonts w:cs="Times New Roman"/>
          <w:color w:val="000000" w:themeColor="text1"/>
        </w:rPr>
        <w:t>,</w:t>
      </w:r>
      <w:r w:rsidR="00927982" w:rsidRPr="0044196C">
        <w:rPr>
          <w:rFonts w:cs="Times New Roman"/>
          <w:color w:val="000000" w:themeColor="text1"/>
        </w:rPr>
        <w:t xml:space="preserve"> ишемическая болезнь почек может развиться на фоне уже существующей </w:t>
      </w:r>
      <w:r w:rsidR="007D3F39" w:rsidRPr="0044196C">
        <w:rPr>
          <w:rFonts w:cs="Times New Roman"/>
          <w:color w:val="000000" w:themeColor="text1"/>
        </w:rPr>
        <w:t xml:space="preserve">ХБП </w:t>
      </w:r>
      <w:r w:rsidR="00927982" w:rsidRPr="0044196C">
        <w:rPr>
          <w:rFonts w:cs="Times New Roman"/>
          <w:color w:val="000000" w:themeColor="text1"/>
        </w:rPr>
        <w:t>как новая причина повышения АД и падения СКФ</w:t>
      </w:r>
      <w:r w:rsidR="00D63451" w:rsidRPr="0044196C">
        <w:rPr>
          <w:rFonts w:cs="Times New Roman"/>
          <w:color w:val="000000" w:themeColor="text1"/>
        </w:rPr>
        <w:t>, существенно ухудшая прогноз и меняя подходы к лечению</w:t>
      </w:r>
      <w:r w:rsidR="00927982" w:rsidRPr="0044196C">
        <w:rPr>
          <w:rFonts w:cs="Times New Roman"/>
          <w:color w:val="000000" w:themeColor="text1"/>
        </w:rPr>
        <w:t xml:space="preserve">. </w:t>
      </w:r>
    </w:p>
    <w:p w:rsidR="00EA54B5" w:rsidRPr="0044196C" w:rsidRDefault="00885009" w:rsidP="00EA54B5">
      <w:pPr>
        <w:tabs>
          <w:tab w:val="left" w:pos="3573"/>
        </w:tabs>
        <w:rPr>
          <w:rFonts w:cs="Times New Roman"/>
          <w:color w:val="000000" w:themeColor="text1"/>
        </w:rPr>
      </w:pPr>
      <w:r w:rsidRPr="0044196C">
        <w:rPr>
          <w:rFonts w:cs="Times New Roman"/>
          <w:color w:val="000000" w:themeColor="text1"/>
        </w:rPr>
        <w:t>Оценка наличия факторов риска реноваскулярной болезни (</w:t>
      </w:r>
      <w:fldSimple w:instr=" REF _Ref279503966 \h  \* MERGEFORMAT ">
        <w:r w:rsidRPr="0044196C">
          <w:rPr>
            <w:color w:val="000000" w:themeColor="text1"/>
          </w:rPr>
          <w:t xml:space="preserve">Таблица </w:t>
        </w:r>
        <w:r w:rsidRPr="0044196C">
          <w:rPr>
            <w:noProof/>
            <w:color w:val="000000" w:themeColor="text1"/>
          </w:rPr>
          <w:t>7</w:t>
        </w:r>
      </w:fldSimple>
      <w:r w:rsidRPr="0044196C">
        <w:rPr>
          <w:rFonts w:cs="Times New Roman"/>
          <w:color w:val="000000" w:themeColor="text1"/>
        </w:rPr>
        <w:t xml:space="preserve">) должна проводиться как у лиц с впервые выявленной АГ, так и у пациентов с длительным анамнезом повышения АД и ХБП, особенно в случаях изменения характера АГ. </w:t>
      </w:r>
      <w:r w:rsidR="0076758B" w:rsidRPr="0044196C">
        <w:rPr>
          <w:rFonts w:cs="Times New Roman"/>
          <w:color w:val="000000" w:themeColor="text1"/>
        </w:rPr>
        <w:t>Лицам, входящим в группу высокого риска</w:t>
      </w:r>
      <w:r w:rsidRPr="0044196C">
        <w:rPr>
          <w:rFonts w:cs="Times New Roman"/>
          <w:color w:val="000000" w:themeColor="text1"/>
        </w:rPr>
        <w:t xml:space="preserve"> реноваскулярной болезни</w:t>
      </w:r>
      <w:r w:rsidR="00CB6271" w:rsidRPr="0044196C">
        <w:rPr>
          <w:rFonts w:cs="Times New Roman"/>
          <w:color w:val="000000" w:themeColor="text1"/>
        </w:rPr>
        <w:t xml:space="preserve">, показано проведение ультразвуковой допплерографии (УЗДГ) </w:t>
      </w:r>
      <w:r w:rsidR="00683C8E" w:rsidRPr="0044196C">
        <w:rPr>
          <w:rFonts w:cs="Times New Roman"/>
          <w:color w:val="000000" w:themeColor="text1"/>
        </w:rPr>
        <w:t>как неинвазивного и безопасного метода исследования почечных сосудов. При обнаружении признаков гемодинамически значимого СПА по данным УЗДГ и высокой вероятности успеха ангиопластики (см. «Рекомендации по консервативному ведению реноваскулярной артериальной гипертонии и ишемической болезни поче</w:t>
      </w:r>
      <w:r w:rsidR="00933292" w:rsidRPr="0044196C">
        <w:rPr>
          <w:rFonts w:cs="Times New Roman"/>
          <w:color w:val="000000" w:themeColor="text1"/>
        </w:rPr>
        <w:t>к») необходимо направить пациен</w:t>
      </w:r>
      <w:r w:rsidR="00683C8E" w:rsidRPr="0044196C">
        <w:rPr>
          <w:rFonts w:cs="Times New Roman"/>
          <w:color w:val="000000" w:themeColor="text1"/>
        </w:rPr>
        <w:t xml:space="preserve">та </w:t>
      </w:r>
      <w:r w:rsidR="00933292" w:rsidRPr="0044196C">
        <w:rPr>
          <w:rFonts w:cs="Times New Roman"/>
          <w:color w:val="000000" w:themeColor="text1"/>
        </w:rPr>
        <w:t>вцентрсосудистой хирургии, где проводятся рентгеноконтрастные исследования или МРТ-ангиография для верификации диагноза и определения тактики хирургического лечения</w:t>
      </w:r>
      <w:r w:rsidR="00CB6271" w:rsidRPr="0044196C">
        <w:rPr>
          <w:rFonts w:cs="Times New Roman"/>
          <w:color w:val="000000" w:themeColor="text1"/>
        </w:rPr>
        <w:t xml:space="preserve">. </w:t>
      </w:r>
    </w:p>
    <w:p w:rsidR="0076758B" w:rsidRPr="0044196C" w:rsidRDefault="0076758B" w:rsidP="00EA54B5">
      <w:pPr>
        <w:tabs>
          <w:tab w:val="left" w:pos="3573"/>
        </w:tabs>
        <w:rPr>
          <w:rFonts w:cs="Times New Roman"/>
          <w:color w:val="000000" w:themeColor="text1"/>
        </w:rPr>
      </w:pPr>
    </w:p>
    <w:p w:rsidR="0076758B" w:rsidRPr="0044196C" w:rsidRDefault="0076758B" w:rsidP="0076758B">
      <w:pPr>
        <w:pStyle w:val="af4"/>
        <w:rPr>
          <w:rFonts w:cs="Times New Roman"/>
          <w:color w:val="000000" w:themeColor="text1"/>
        </w:rPr>
      </w:pPr>
      <w:bookmarkStart w:id="32" w:name="_Ref279503966"/>
      <w:r w:rsidRPr="0044196C">
        <w:rPr>
          <w:color w:val="000000" w:themeColor="text1"/>
        </w:rPr>
        <w:t xml:space="preserve">Таблица </w:t>
      </w:r>
      <w:r w:rsidR="009D7C63" w:rsidRPr="0044196C">
        <w:rPr>
          <w:color w:val="000000" w:themeColor="text1"/>
        </w:rPr>
        <w:fldChar w:fldCharType="begin"/>
      </w:r>
      <w:r w:rsidR="009D7C63" w:rsidRPr="0044196C">
        <w:rPr>
          <w:color w:val="000000" w:themeColor="text1"/>
        </w:rPr>
        <w:instrText xml:space="preserve"> SEQ Таблица \* ARABIC </w:instrText>
      </w:r>
      <w:r w:rsidR="009D7C63" w:rsidRPr="0044196C">
        <w:rPr>
          <w:color w:val="000000" w:themeColor="text1"/>
        </w:rPr>
        <w:fldChar w:fldCharType="separate"/>
      </w:r>
      <w:r w:rsidR="00DF40EA" w:rsidRPr="0044196C">
        <w:rPr>
          <w:noProof/>
          <w:color w:val="000000" w:themeColor="text1"/>
        </w:rPr>
        <w:t>7</w:t>
      </w:r>
      <w:r w:rsidR="009D7C63" w:rsidRPr="0044196C">
        <w:rPr>
          <w:color w:val="000000" w:themeColor="text1"/>
        </w:rPr>
        <w:fldChar w:fldCharType="end"/>
      </w:r>
      <w:bookmarkEnd w:id="32"/>
    </w:p>
    <w:tbl>
      <w:tblPr>
        <w:tblW w:w="0" w:type="auto"/>
        <w:shd w:val="clear" w:color="auto" w:fill="365F91" w:themeFill="accent1" w:themeFillShade="BF"/>
        <w:tblLook w:val="04A0"/>
      </w:tblPr>
      <w:tblGrid>
        <w:gridCol w:w="9571"/>
      </w:tblGrid>
      <w:tr w:rsidR="0076758B" w:rsidRPr="0044196C" w:rsidTr="0076758B">
        <w:tc>
          <w:tcPr>
            <w:tcW w:w="9571" w:type="dxa"/>
            <w:shd w:val="clear" w:color="auto" w:fill="365F91" w:themeFill="accent1" w:themeFillShade="BF"/>
          </w:tcPr>
          <w:p w:rsidR="0076758B" w:rsidRPr="0044196C" w:rsidRDefault="0076758B" w:rsidP="004625F3">
            <w:pPr>
              <w:pStyle w:val="af6"/>
              <w:rPr>
                <w:color w:val="000000" w:themeColor="text1"/>
              </w:rPr>
            </w:pPr>
            <w:r w:rsidRPr="0044196C">
              <w:rPr>
                <w:color w:val="000000" w:themeColor="text1"/>
              </w:rPr>
              <w:t xml:space="preserve">Факторы риска реноваскулярной болезни </w:t>
            </w:r>
          </w:p>
        </w:tc>
      </w:tr>
      <w:tr w:rsidR="0076758B" w:rsidRPr="0044196C" w:rsidTr="0076758B">
        <w:tc>
          <w:tcPr>
            <w:tcW w:w="9571" w:type="dxa"/>
            <w:shd w:val="clear" w:color="auto" w:fill="DBE5F1" w:themeFill="accent1" w:themeFillTint="33"/>
          </w:tcPr>
          <w:p w:rsidR="0076758B" w:rsidRPr="0044196C" w:rsidRDefault="004625F3"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Возраст старше 50 лет</w:t>
            </w:r>
          </w:p>
          <w:p w:rsidR="004625F3" w:rsidRPr="0044196C" w:rsidRDefault="004625F3"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АГ, впервые выявленная в молодом или  пожилом возрасте</w:t>
            </w:r>
          </w:p>
          <w:p w:rsidR="004625F3" w:rsidRPr="0044196C" w:rsidRDefault="004625F3"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Внезапное развитие тяжелой АГ кризового течения</w:t>
            </w:r>
          </w:p>
          <w:p w:rsidR="004625F3" w:rsidRPr="0044196C" w:rsidRDefault="004625F3"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Резистентная АГ</w:t>
            </w:r>
          </w:p>
          <w:p w:rsidR="004625F3" w:rsidRPr="0044196C" w:rsidRDefault="004625F3"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Резкое нарастание тяжести уже имеющейся АГ, развитие резистентности к эффективной ранее антигипертензивной терапии</w:t>
            </w:r>
          </w:p>
          <w:p w:rsidR="00CB6271" w:rsidRPr="0044196C" w:rsidRDefault="00CB6271"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Снижение функции почек, впервые выявленное в пожилом возрасте</w:t>
            </w:r>
          </w:p>
          <w:p w:rsidR="004625F3" w:rsidRPr="0044196C" w:rsidRDefault="004625F3"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Развитие резкого (более чем на 30%) повышения уровня креатинина сыворотки в ответ на назначение ингибитора АПФ или блокатора ангиотензиновых рецепторов</w:t>
            </w:r>
          </w:p>
          <w:p w:rsidR="004625F3" w:rsidRPr="0044196C" w:rsidRDefault="004625F3"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Рецидивирующий отек легких</w:t>
            </w:r>
          </w:p>
          <w:p w:rsidR="00CB6271" w:rsidRPr="0044196C" w:rsidRDefault="00CB6271"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Атеросклероз с признаками ишемического поражения нескольких органов</w:t>
            </w:r>
          </w:p>
          <w:p w:rsidR="00CB6271" w:rsidRPr="0044196C" w:rsidRDefault="00CB6271"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Синдром перемежающейся хромоты</w:t>
            </w:r>
          </w:p>
          <w:p w:rsidR="00CB6271" w:rsidRPr="0044196C" w:rsidRDefault="00CB6271"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Сахарный диабет</w:t>
            </w:r>
          </w:p>
          <w:p w:rsidR="004625F3" w:rsidRPr="0044196C" w:rsidRDefault="00CB6271"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Клиническая картина системного заболевания соединительной ткани</w:t>
            </w:r>
          </w:p>
          <w:p w:rsidR="00CB6271" w:rsidRPr="0044196C" w:rsidRDefault="00CB6271" w:rsidP="0076758B">
            <w:pPr>
              <w:pStyle w:val="a6"/>
              <w:keepNext/>
              <w:keepLines/>
              <w:numPr>
                <w:ilvl w:val="0"/>
                <w:numId w:val="1"/>
              </w:numPr>
              <w:tabs>
                <w:tab w:val="num" w:pos="720"/>
              </w:tabs>
              <w:spacing w:before="60" w:after="60" w:line="260" w:lineRule="exact"/>
              <w:ind w:left="357" w:hanging="357"/>
              <w:rPr>
                <w:rFonts w:asciiTheme="minorHAnsi" w:hAnsiTheme="minorHAnsi"/>
                <w:color w:val="000000" w:themeColor="text1"/>
              </w:rPr>
            </w:pPr>
            <w:r w:rsidRPr="0044196C">
              <w:rPr>
                <w:rFonts w:asciiTheme="minorHAnsi" w:hAnsiTheme="minorHAnsi"/>
                <w:color w:val="000000" w:themeColor="text1"/>
              </w:rPr>
              <w:t>Длительный анамнез курения</w:t>
            </w:r>
          </w:p>
        </w:tc>
      </w:tr>
    </w:tbl>
    <w:p w:rsidR="00EA54B5" w:rsidRPr="0044196C" w:rsidRDefault="00EA54B5" w:rsidP="00EA54B5">
      <w:pPr>
        <w:tabs>
          <w:tab w:val="left" w:pos="3573"/>
        </w:tabs>
        <w:rPr>
          <w:rFonts w:cs="Times New Roman"/>
          <w:color w:val="000000" w:themeColor="text1"/>
        </w:rPr>
      </w:pPr>
    </w:p>
    <w:p w:rsidR="00F928A6" w:rsidRPr="0044196C" w:rsidRDefault="00F928A6" w:rsidP="00022D08">
      <w:pPr>
        <w:rPr>
          <w:rFonts w:cs="Times New Roman"/>
          <w:color w:val="000000" w:themeColor="text1"/>
        </w:rPr>
      </w:pPr>
    </w:p>
    <w:p w:rsidR="007F7F47" w:rsidRPr="0044196C" w:rsidRDefault="007F7F47" w:rsidP="00D122F4">
      <w:pPr>
        <w:tabs>
          <w:tab w:val="left" w:pos="3573"/>
        </w:tabs>
        <w:rPr>
          <w:rFonts w:cs="Times New Roman"/>
          <w:color w:val="000000" w:themeColor="text1"/>
        </w:rPr>
      </w:pPr>
    </w:p>
    <w:p w:rsidR="00933292" w:rsidRPr="0044196C" w:rsidRDefault="000352FB" w:rsidP="00933292">
      <w:pPr>
        <w:pStyle w:val="a0"/>
        <w:rPr>
          <w:color w:val="000000" w:themeColor="text1"/>
        </w:rPr>
      </w:pPr>
      <w:bookmarkStart w:id="33" w:name="_Toc279732201"/>
      <w:bookmarkStart w:id="34" w:name="_Ref280275034"/>
      <w:r w:rsidRPr="0044196C">
        <w:rPr>
          <w:color w:val="000000" w:themeColor="text1"/>
        </w:rPr>
        <w:t xml:space="preserve">Обследование пациента с нефрогенной АГ включает комплекс </w:t>
      </w:r>
      <w:r w:rsidR="004955FF" w:rsidRPr="0044196C">
        <w:rPr>
          <w:color w:val="000000" w:themeColor="text1"/>
        </w:rPr>
        <w:t xml:space="preserve">физических, </w:t>
      </w:r>
      <w:r w:rsidRPr="0044196C">
        <w:rPr>
          <w:color w:val="000000" w:themeColor="text1"/>
        </w:rPr>
        <w:t xml:space="preserve">лабораторных и инструментальных методов, который определяется особенностями ХБП и задачами уточнения </w:t>
      </w:r>
      <w:r w:rsidR="00933292" w:rsidRPr="0044196C">
        <w:rPr>
          <w:color w:val="000000" w:themeColor="text1"/>
        </w:rPr>
        <w:t>причин и факторов риска повышения</w:t>
      </w:r>
      <w:r w:rsidRPr="0044196C">
        <w:rPr>
          <w:color w:val="000000" w:themeColor="text1"/>
        </w:rPr>
        <w:t xml:space="preserve"> АД, оценк</w:t>
      </w:r>
      <w:r w:rsidR="00933292" w:rsidRPr="0044196C">
        <w:rPr>
          <w:color w:val="000000" w:themeColor="text1"/>
        </w:rPr>
        <w:t>и</w:t>
      </w:r>
      <w:r w:rsidRPr="0044196C">
        <w:rPr>
          <w:color w:val="000000" w:themeColor="text1"/>
        </w:rPr>
        <w:t xml:space="preserve"> состояния органов-мишеней АГ</w:t>
      </w:r>
      <w:r w:rsidR="004955FF" w:rsidRPr="0044196C">
        <w:rPr>
          <w:color w:val="000000" w:themeColor="text1"/>
        </w:rPr>
        <w:t xml:space="preserve"> и риска сердечно-сосудистых осложнений</w:t>
      </w:r>
      <w:r w:rsidR="00933292" w:rsidRPr="0044196C">
        <w:rPr>
          <w:color w:val="000000" w:themeColor="text1"/>
        </w:rPr>
        <w:t xml:space="preserve"> (НГ)</w:t>
      </w:r>
      <w:r w:rsidRPr="0044196C">
        <w:rPr>
          <w:color w:val="000000" w:themeColor="text1"/>
        </w:rPr>
        <w:t>.</w:t>
      </w:r>
      <w:bookmarkEnd w:id="33"/>
      <w:bookmarkEnd w:id="34"/>
    </w:p>
    <w:p w:rsidR="0019318C" w:rsidRPr="0044196C" w:rsidRDefault="0019318C" w:rsidP="000352FB">
      <w:pPr>
        <w:rPr>
          <w:color w:val="000000" w:themeColor="text1"/>
        </w:rPr>
      </w:pPr>
      <w:r w:rsidRPr="0044196C">
        <w:rPr>
          <w:color w:val="000000" w:themeColor="text1"/>
        </w:rPr>
        <w:t xml:space="preserve">План обследования пациента с нефрогенной АГ строится на основе рекомендаций по ведению данной нозологической формы ХБП, а также отражает задачи уточнения причин повышения АД, оценки риска ССО и разработки тактики его снижения. В </w:t>
      </w:r>
      <w:r w:rsidR="00E15D33" w:rsidRPr="0044196C">
        <w:rPr>
          <w:color w:val="000000" w:themeColor="text1"/>
        </w:rPr>
        <w:t>ряде</w:t>
      </w:r>
      <w:r w:rsidRPr="0044196C">
        <w:rPr>
          <w:color w:val="000000" w:themeColor="text1"/>
        </w:rPr>
        <w:t xml:space="preserve"> случаях АГ </w:t>
      </w:r>
      <w:r w:rsidR="00E15D33" w:rsidRPr="0044196C">
        <w:rPr>
          <w:color w:val="000000" w:themeColor="text1"/>
        </w:rPr>
        <w:t>является</w:t>
      </w:r>
      <w:r w:rsidRPr="0044196C">
        <w:rPr>
          <w:color w:val="000000" w:themeColor="text1"/>
        </w:rPr>
        <w:t xml:space="preserve"> первым симптомом</w:t>
      </w:r>
      <w:r w:rsidR="00E15D33" w:rsidRPr="0044196C">
        <w:rPr>
          <w:color w:val="000000" w:themeColor="text1"/>
        </w:rPr>
        <w:t xml:space="preserve"> системного аутоиммунного заболевания, заставившим пациента обратиться к врачу. Впервые выявленное сочетание АГ, прогрессирующего снижения функции почек и мочевого синдрома (который нередко носит умеренный характер) требует </w:t>
      </w:r>
      <w:r w:rsidR="004836D2" w:rsidRPr="0044196C">
        <w:rPr>
          <w:color w:val="000000" w:themeColor="text1"/>
        </w:rPr>
        <w:t xml:space="preserve">специального </w:t>
      </w:r>
      <w:r w:rsidR="00E15D33" w:rsidRPr="0044196C">
        <w:rPr>
          <w:color w:val="000000" w:themeColor="text1"/>
        </w:rPr>
        <w:t>исследования для исключения системной красной волчанки, системного васкулита, антифосфолипидного синдрома</w:t>
      </w:r>
      <w:r w:rsidR="004836D2" w:rsidRPr="0044196C">
        <w:rPr>
          <w:color w:val="000000" w:themeColor="text1"/>
        </w:rPr>
        <w:t xml:space="preserve"> (антител к нативной ДНК, антинуклеарных антител, С3 и С4 фракций комплемента, антител к цитоплазме нейтрофилов, антител к кардиолипину, антител к бета2-гликопротеину 1 типа, волчаночного антикоагулянта)</w:t>
      </w:r>
      <w:r w:rsidR="00E15D33" w:rsidRPr="0044196C">
        <w:rPr>
          <w:color w:val="000000" w:themeColor="text1"/>
        </w:rPr>
        <w:t>.</w:t>
      </w:r>
    </w:p>
    <w:p w:rsidR="00786902" w:rsidRPr="0044196C" w:rsidRDefault="007D3F39" w:rsidP="000352FB">
      <w:pPr>
        <w:rPr>
          <w:color w:val="000000" w:themeColor="text1"/>
        </w:rPr>
      </w:pPr>
      <w:r w:rsidRPr="0044196C">
        <w:rPr>
          <w:color w:val="000000" w:themeColor="text1"/>
        </w:rPr>
        <w:t xml:space="preserve">Повышение АД </w:t>
      </w:r>
      <w:r w:rsidR="00BF32C6" w:rsidRPr="0044196C">
        <w:rPr>
          <w:color w:val="000000" w:themeColor="text1"/>
        </w:rPr>
        <w:t xml:space="preserve">и ССО </w:t>
      </w:r>
      <w:r w:rsidRPr="0044196C">
        <w:rPr>
          <w:color w:val="000000" w:themeColor="text1"/>
        </w:rPr>
        <w:t>при ХБП, как правило, обусловлен</w:t>
      </w:r>
      <w:r w:rsidR="00BF32C6" w:rsidRPr="0044196C">
        <w:rPr>
          <w:color w:val="000000" w:themeColor="text1"/>
        </w:rPr>
        <w:t>ы</w:t>
      </w:r>
      <w:r w:rsidRPr="0044196C">
        <w:rPr>
          <w:color w:val="000000" w:themeColor="text1"/>
        </w:rPr>
        <w:t xml:space="preserve"> целым рядом факторов – как общепопуляционных</w:t>
      </w:r>
      <w:r w:rsidR="00BF32C6" w:rsidRPr="0044196C">
        <w:rPr>
          <w:color w:val="000000" w:themeColor="text1"/>
        </w:rPr>
        <w:t xml:space="preserve"> (злоупотребление солью, сахарный диабет, ожирение, гиперлипидемия, курение)</w:t>
      </w:r>
      <w:r w:rsidRPr="0044196C">
        <w:rPr>
          <w:color w:val="000000" w:themeColor="text1"/>
        </w:rPr>
        <w:t>, так и связанных с заболеванием почек</w:t>
      </w:r>
      <w:r w:rsidR="00BF32C6" w:rsidRPr="0044196C">
        <w:rPr>
          <w:color w:val="000000" w:themeColor="text1"/>
        </w:rPr>
        <w:t xml:space="preserve"> (снижение СКФ, нарушения фосфорно-кальциевого обмена, анемия и хроническое воспаление, синдром белково-энергетической недостаточности)</w:t>
      </w:r>
      <w:r w:rsidR="0077200F" w:rsidRPr="0044196C">
        <w:rPr>
          <w:color w:val="000000" w:themeColor="text1"/>
        </w:rPr>
        <w:t>, многие из которых являются изменяемыми</w:t>
      </w:r>
      <w:r w:rsidRPr="0044196C">
        <w:rPr>
          <w:color w:val="000000" w:themeColor="text1"/>
        </w:rPr>
        <w:t xml:space="preserve">. </w:t>
      </w:r>
      <w:r w:rsidR="0077200F" w:rsidRPr="0044196C">
        <w:rPr>
          <w:color w:val="000000" w:themeColor="text1"/>
        </w:rPr>
        <w:t>К</w:t>
      </w:r>
      <w:r w:rsidR="00BF32C6" w:rsidRPr="0044196C">
        <w:rPr>
          <w:color w:val="000000" w:themeColor="text1"/>
        </w:rPr>
        <w:t>омплексное обс</w:t>
      </w:r>
      <w:r w:rsidR="0077200F" w:rsidRPr="0044196C">
        <w:rPr>
          <w:color w:val="000000" w:themeColor="text1"/>
        </w:rPr>
        <w:t xml:space="preserve">ледование, учитывающее </w:t>
      </w:r>
      <w:r w:rsidR="00B121D8" w:rsidRPr="0044196C">
        <w:rPr>
          <w:color w:val="000000" w:themeColor="text1"/>
        </w:rPr>
        <w:t xml:space="preserve">их во всей совокупности, является важным условием правильной оценки прогноза и разработки оптимальной стратегии кардио/нефропротективной терапии. Общие принципы обследования больного с АГ, изложенные в национальных рекомендациях по диагностике и лечению АГ [], применимы и к </w:t>
      </w:r>
      <w:r w:rsidR="00834C93" w:rsidRPr="0044196C">
        <w:rPr>
          <w:color w:val="000000" w:themeColor="text1"/>
        </w:rPr>
        <w:t>больным</w:t>
      </w:r>
      <w:r w:rsidR="00B121D8" w:rsidRPr="0044196C">
        <w:rPr>
          <w:color w:val="000000" w:themeColor="text1"/>
        </w:rPr>
        <w:t xml:space="preserve"> с </w:t>
      </w:r>
      <w:r w:rsidR="00834C93" w:rsidRPr="0044196C">
        <w:rPr>
          <w:color w:val="000000" w:themeColor="text1"/>
        </w:rPr>
        <w:t>нефрогенной АГ</w:t>
      </w:r>
      <w:r w:rsidR="00B121D8" w:rsidRPr="0044196C">
        <w:rPr>
          <w:color w:val="000000" w:themeColor="text1"/>
        </w:rPr>
        <w:t xml:space="preserve">. Однако </w:t>
      </w:r>
      <w:r w:rsidR="00834C93" w:rsidRPr="0044196C">
        <w:rPr>
          <w:color w:val="000000" w:themeColor="text1"/>
        </w:rPr>
        <w:t>существует</w:t>
      </w:r>
      <w:r w:rsidR="00B121D8" w:rsidRPr="0044196C">
        <w:rPr>
          <w:color w:val="000000" w:themeColor="text1"/>
        </w:rPr>
        <w:t xml:space="preserve"> ряд особенностей</w:t>
      </w:r>
      <w:r w:rsidR="00834C93" w:rsidRPr="0044196C">
        <w:rPr>
          <w:color w:val="000000" w:themeColor="text1"/>
        </w:rPr>
        <w:t>, особенно касающихся пациентов с ХБП С3-5, при которой на первый план выходят специфические почечные факторы сердечно-сосудистого риска, резко повышается частота ССО и существенно меняется их спектр</w:t>
      </w:r>
      <w:r w:rsidR="00786902" w:rsidRPr="0044196C">
        <w:rPr>
          <w:color w:val="000000" w:themeColor="text1"/>
        </w:rPr>
        <w:t xml:space="preserve">. </w:t>
      </w:r>
    </w:p>
    <w:p w:rsidR="00786902" w:rsidRPr="0044196C" w:rsidRDefault="00647B97" w:rsidP="00B834B6">
      <w:pPr>
        <w:rPr>
          <w:color w:val="000000" w:themeColor="text1"/>
        </w:rPr>
      </w:pPr>
      <w:r w:rsidRPr="0044196C">
        <w:rPr>
          <w:color w:val="000000" w:themeColor="text1"/>
        </w:rPr>
        <w:t>Для</w:t>
      </w:r>
      <w:r w:rsidR="00A83C95" w:rsidRPr="0044196C">
        <w:rPr>
          <w:color w:val="000000" w:themeColor="text1"/>
        </w:rPr>
        <w:t xml:space="preserve"> выявления ведущих причин АГ </w:t>
      </w:r>
      <w:r w:rsidRPr="0044196C">
        <w:rPr>
          <w:color w:val="000000" w:themeColor="text1"/>
        </w:rPr>
        <w:t>необходимо тщательное</w:t>
      </w:r>
      <w:r w:rsidR="00A83C95" w:rsidRPr="0044196C">
        <w:rPr>
          <w:color w:val="000000" w:themeColor="text1"/>
        </w:rPr>
        <w:t xml:space="preserve"> изучение анамнеза, сопоставление сроков выявления АГ и ХБП, оценка изменения выраженности повышения АД и чувствительности к антигипертензивным препаратам на фоне этиотропной и патогенетической терапии заболевания почек. </w:t>
      </w:r>
      <w:r w:rsidR="00786902" w:rsidRPr="0044196C">
        <w:rPr>
          <w:color w:val="000000" w:themeColor="text1"/>
        </w:rPr>
        <w:t xml:space="preserve">Прифизическом </w:t>
      </w:r>
      <w:r w:rsidR="000E3298" w:rsidRPr="0044196C">
        <w:rPr>
          <w:color w:val="000000" w:themeColor="text1"/>
        </w:rPr>
        <w:t xml:space="preserve">и инструментальном </w:t>
      </w:r>
      <w:r w:rsidR="00786902" w:rsidRPr="0044196C">
        <w:rPr>
          <w:color w:val="000000" w:themeColor="text1"/>
        </w:rPr>
        <w:t xml:space="preserve">исследовании </w:t>
      </w:r>
      <w:r w:rsidR="000E3298" w:rsidRPr="0044196C">
        <w:rPr>
          <w:color w:val="000000" w:themeColor="text1"/>
        </w:rPr>
        <w:t>особое внимание уделяют состоянию центральных и периферических сосудов, учитывая развитие ремоделирования магистральных артерий и раннего атеросклероза у пациентов с ХБП</w:t>
      </w:r>
      <w:r w:rsidR="00B834B6" w:rsidRPr="0044196C">
        <w:rPr>
          <w:color w:val="000000" w:themeColor="text1"/>
        </w:rPr>
        <w:t xml:space="preserve"> (</w:t>
      </w:r>
      <w:fldSimple w:instr=" REF _Ref279568266 \h  \* MERGEFORMAT ">
        <w:r w:rsidR="00B834B6" w:rsidRPr="0044196C">
          <w:rPr>
            <w:color w:val="000000" w:themeColor="text1"/>
          </w:rPr>
          <w:t xml:space="preserve">Таблица </w:t>
        </w:r>
        <w:r w:rsidR="00B834B6" w:rsidRPr="0044196C">
          <w:rPr>
            <w:noProof/>
            <w:color w:val="000000" w:themeColor="text1"/>
          </w:rPr>
          <w:t>8</w:t>
        </w:r>
      </w:fldSimple>
      <w:r w:rsidR="00B834B6" w:rsidRPr="0044196C">
        <w:rPr>
          <w:color w:val="000000" w:themeColor="text1"/>
        </w:rPr>
        <w:t>)</w:t>
      </w:r>
      <w:r w:rsidR="000E3298" w:rsidRPr="0044196C">
        <w:rPr>
          <w:color w:val="000000" w:themeColor="text1"/>
        </w:rPr>
        <w:t xml:space="preserve">. </w:t>
      </w:r>
      <w:r w:rsidR="00A83C95" w:rsidRPr="0044196C">
        <w:rPr>
          <w:color w:val="000000" w:themeColor="text1"/>
        </w:rPr>
        <w:t>Большое значение имеет диагностика нарушений обмена веществ, спектр которых на поздних стадиях ХБП значительно расширяется</w:t>
      </w:r>
      <w:r w:rsidR="00B834B6" w:rsidRPr="0044196C">
        <w:rPr>
          <w:color w:val="000000" w:themeColor="text1"/>
        </w:rPr>
        <w:t>, при этом развитие синдрома белково-энергетической недостаточности</w:t>
      </w:r>
      <w:r w:rsidRPr="0044196C">
        <w:rPr>
          <w:color w:val="000000" w:themeColor="text1"/>
        </w:rPr>
        <w:t>, проявляющегося низким ИМТ</w:t>
      </w:r>
      <w:r w:rsidR="00E15D33" w:rsidRPr="0044196C">
        <w:rPr>
          <w:color w:val="000000" w:themeColor="text1"/>
        </w:rPr>
        <w:t>, дефицитом жировой и мышечной ткани, гипоальбуминемией,</w:t>
      </w:r>
      <w:r w:rsidR="00B834B6" w:rsidRPr="0044196C">
        <w:rPr>
          <w:color w:val="000000" w:themeColor="text1"/>
        </w:rPr>
        <w:t xml:space="preserve"> может иметь более неблагоприятное значение, чем избыточное питание</w:t>
      </w:r>
      <w:r w:rsidR="00B121D8" w:rsidRPr="0044196C">
        <w:rPr>
          <w:color w:val="000000" w:themeColor="text1"/>
        </w:rPr>
        <w:t>.</w:t>
      </w:r>
    </w:p>
    <w:p w:rsidR="0019318C" w:rsidRPr="0044196C" w:rsidRDefault="0019318C" w:rsidP="00B834B6">
      <w:pPr>
        <w:rPr>
          <w:color w:val="000000" w:themeColor="text1"/>
        </w:rPr>
      </w:pPr>
    </w:p>
    <w:p w:rsidR="00834C93" w:rsidRPr="0044196C" w:rsidRDefault="00834C93" w:rsidP="00834C93">
      <w:pPr>
        <w:pStyle w:val="af4"/>
        <w:rPr>
          <w:rFonts w:cs="Times New Roman"/>
          <w:color w:val="000000" w:themeColor="text1"/>
        </w:rPr>
      </w:pPr>
      <w:bookmarkStart w:id="35" w:name="_Ref279568266"/>
      <w:r w:rsidRPr="0044196C">
        <w:rPr>
          <w:color w:val="000000" w:themeColor="text1"/>
        </w:rPr>
        <w:lastRenderedPageBreak/>
        <w:t xml:space="preserve">Таблица </w:t>
      </w:r>
      <w:r w:rsidR="009D7C63" w:rsidRPr="0044196C">
        <w:rPr>
          <w:color w:val="000000" w:themeColor="text1"/>
        </w:rPr>
        <w:fldChar w:fldCharType="begin"/>
      </w:r>
      <w:r w:rsidR="009D7C63" w:rsidRPr="0044196C">
        <w:rPr>
          <w:color w:val="000000" w:themeColor="text1"/>
        </w:rPr>
        <w:instrText xml:space="preserve"> SEQ Таблица \* ARABIC </w:instrText>
      </w:r>
      <w:r w:rsidR="009D7C63" w:rsidRPr="0044196C">
        <w:rPr>
          <w:color w:val="000000" w:themeColor="text1"/>
        </w:rPr>
        <w:fldChar w:fldCharType="separate"/>
      </w:r>
      <w:r w:rsidR="00DF40EA" w:rsidRPr="0044196C">
        <w:rPr>
          <w:noProof/>
          <w:color w:val="000000" w:themeColor="text1"/>
        </w:rPr>
        <w:t>8</w:t>
      </w:r>
      <w:r w:rsidR="009D7C63" w:rsidRPr="0044196C">
        <w:rPr>
          <w:color w:val="000000" w:themeColor="text1"/>
        </w:rPr>
        <w:fldChar w:fldCharType="end"/>
      </w:r>
      <w:bookmarkEnd w:id="35"/>
    </w:p>
    <w:tbl>
      <w:tblPr>
        <w:tblW w:w="0" w:type="auto"/>
        <w:shd w:val="clear" w:color="auto" w:fill="365F91" w:themeFill="accent1" w:themeFillShade="BF"/>
        <w:tblLook w:val="04A0"/>
      </w:tblPr>
      <w:tblGrid>
        <w:gridCol w:w="9571"/>
      </w:tblGrid>
      <w:tr w:rsidR="00834C93" w:rsidRPr="0044196C" w:rsidTr="00834C93">
        <w:tc>
          <w:tcPr>
            <w:tcW w:w="9571" w:type="dxa"/>
            <w:shd w:val="clear" w:color="auto" w:fill="365F91" w:themeFill="accent1" w:themeFillShade="BF"/>
          </w:tcPr>
          <w:p w:rsidR="00834C93" w:rsidRPr="0044196C" w:rsidRDefault="00A83C95" w:rsidP="00834C93">
            <w:pPr>
              <w:pStyle w:val="af6"/>
              <w:rPr>
                <w:color w:val="000000" w:themeColor="text1"/>
              </w:rPr>
            </w:pPr>
            <w:r w:rsidRPr="0044196C">
              <w:rPr>
                <w:color w:val="000000" w:themeColor="text1"/>
              </w:rPr>
              <w:t>Физические и к</w:t>
            </w:r>
            <w:r w:rsidR="00786902" w:rsidRPr="0044196C">
              <w:rPr>
                <w:color w:val="000000" w:themeColor="text1"/>
              </w:rPr>
              <w:t xml:space="preserve">линико-лабораторные методы исследования пациента </w:t>
            </w:r>
            <w:r w:rsidR="00B834B6" w:rsidRPr="0044196C">
              <w:rPr>
                <w:color w:val="000000" w:themeColor="text1"/>
              </w:rPr>
              <w:br/>
            </w:r>
            <w:r w:rsidR="00786902" w:rsidRPr="0044196C">
              <w:rPr>
                <w:color w:val="000000" w:themeColor="text1"/>
              </w:rPr>
              <w:t>с нефрогенной АГ</w:t>
            </w:r>
          </w:p>
        </w:tc>
      </w:tr>
      <w:tr w:rsidR="00834C93" w:rsidRPr="0044196C" w:rsidTr="00834C93">
        <w:tc>
          <w:tcPr>
            <w:tcW w:w="9571" w:type="dxa"/>
            <w:shd w:val="clear" w:color="auto" w:fill="DBE5F1" w:themeFill="accent1" w:themeFillTint="33"/>
          </w:tcPr>
          <w:p w:rsidR="00834C93" w:rsidRPr="0044196C" w:rsidRDefault="00B834B6" w:rsidP="00B834B6">
            <w:pPr>
              <w:pStyle w:val="a6"/>
              <w:keepNext/>
              <w:keepLines/>
              <w:numPr>
                <w:ilvl w:val="0"/>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Физическое исследование</w:t>
            </w:r>
          </w:p>
          <w:p w:rsidR="00BD2B17" w:rsidRPr="0044196C" w:rsidRDefault="00BD2B17" w:rsidP="00BD2B17">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 xml:space="preserve">измерение АД </w:t>
            </w:r>
            <w:r w:rsidR="00885009" w:rsidRPr="0044196C">
              <w:rPr>
                <w:rFonts w:asciiTheme="minorHAnsi" w:hAnsiTheme="minorHAnsi"/>
                <w:color w:val="000000" w:themeColor="text1"/>
              </w:rPr>
              <w:t>– при каждом обследовании</w:t>
            </w:r>
          </w:p>
          <w:p w:rsidR="00BD2B17" w:rsidRPr="0044196C" w:rsidRDefault="00BD2B17" w:rsidP="00BD2B17">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 xml:space="preserve">измерение индекса массы тела </w:t>
            </w:r>
            <w:r w:rsidR="00647B97" w:rsidRPr="0044196C">
              <w:rPr>
                <w:rFonts w:asciiTheme="minorHAnsi" w:hAnsiTheme="minorHAnsi"/>
                <w:color w:val="000000" w:themeColor="text1"/>
              </w:rPr>
              <w:t xml:space="preserve">(ИМТ) </w:t>
            </w:r>
            <w:r w:rsidRPr="0044196C">
              <w:rPr>
                <w:rFonts w:asciiTheme="minorHAnsi" w:hAnsiTheme="minorHAnsi"/>
                <w:color w:val="000000" w:themeColor="text1"/>
              </w:rPr>
              <w:t xml:space="preserve">и окружности талии </w:t>
            </w:r>
            <w:r w:rsidR="00647B97" w:rsidRPr="0044196C">
              <w:rPr>
                <w:rFonts w:asciiTheme="minorHAnsi" w:hAnsiTheme="minorHAnsi"/>
                <w:color w:val="000000" w:themeColor="text1"/>
              </w:rPr>
              <w:t>(ОТ)</w:t>
            </w:r>
            <w:r w:rsidR="00885009" w:rsidRPr="0044196C">
              <w:rPr>
                <w:rFonts w:asciiTheme="minorHAnsi" w:hAnsiTheme="minorHAnsi"/>
                <w:color w:val="000000" w:themeColor="text1"/>
              </w:rPr>
              <w:t xml:space="preserve"> – при каждом обследовании</w:t>
            </w:r>
          </w:p>
          <w:p w:rsidR="00BD2B17" w:rsidRPr="0044196C" w:rsidRDefault="00BD2B17" w:rsidP="00B834B6">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определение толщины кожной складки и окружности бицепса*</w:t>
            </w:r>
            <w:r w:rsidR="00885009" w:rsidRPr="0044196C">
              <w:rPr>
                <w:rFonts w:asciiTheme="minorHAnsi" w:hAnsiTheme="minorHAnsi"/>
                <w:color w:val="000000" w:themeColor="text1"/>
              </w:rPr>
              <w:t>– при каждом обследовании</w:t>
            </w:r>
          </w:p>
          <w:p w:rsidR="00B834B6" w:rsidRPr="0044196C" w:rsidRDefault="00BD2B17" w:rsidP="00B834B6">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 xml:space="preserve"> пальпация периферических артерий, аускультация подключичных, сонных, артерий, </w:t>
            </w:r>
            <w:r w:rsidR="00885009" w:rsidRPr="0044196C">
              <w:rPr>
                <w:rFonts w:asciiTheme="minorHAnsi" w:hAnsiTheme="minorHAnsi"/>
                <w:color w:val="000000" w:themeColor="text1"/>
              </w:rPr>
              <w:t>брюшной аорты, почечных артерий – при каждом обследовании</w:t>
            </w:r>
          </w:p>
          <w:p w:rsidR="00B834B6" w:rsidRPr="0044196C" w:rsidRDefault="00647B97" w:rsidP="00B834B6">
            <w:pPr>
              <w:pStyle w:val="a6"/>
              <w:keepNext/>
              <w:keepLines/>
              <w:numPr>
                <w:ilvl w:val="0"/>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Лабораторные исследования</w:t>
            </w:r>
          </w:p>
          <w:p w:rsidR="00647B97" w:rsidRPr="0044196C" w:rsidRDefault="00647B97" w:rsidP="00647B97">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общий анализ крови</w:t>
            </w:r>
            <w:r w:rsidR="00885009" w:rsidRPr="0044196C">
              <w:rPr>
                <w:rFonts w:asciiTheme="minorHAnsi" w:hAnsiTheme="minorHAnsi"/>
                <w:color w:val="000000" w:themeColor="text1"/>
              </w:rPr>
              <w:t xml:space="preserve"> – при каждом обследовании</w:t>
            </w:r>
          </w:p>
          <w:p w:rsidR="00647B97" w:rsidRPr="0044196C" w:rsidRDefault="00647B97" w:rsidP="00647B97">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общий анализ мочи</w:t>
            </w:r>
            <w:r w:rsidRPr="0044196C">
              <w:rPr>
                <w:rFonts w:asciiTheme="minorHAnsi" w:hAnsiTheme="minorHAnsi"/>
                <w:color w:val="000000" w:themeColor="text1"/>
              </w:rPr>
              <w:sym w:font="Symbol" w:char="F02A"/>
            </w:r>
            <w:r w:rsidRPr="0044196C">
              <w:rPr>
                <w:rFonts w:asciiTheme="minorHAnsi" w:hAnsiTheme="minorHAnsi"/>
                <w:color w:val="000000" w:themeColor="text1"/>
              </w:rPr>
              <w:sym w:font="Symbol" w:char="F02A"/>
            </w:r>
            <w:r w:rsidR="00885009" w:rsidRPr="0044196C">
              <w:rPr>
                <w:rFonts w:asciiTheme="minorHAnsi" w:hAnsiTheme="minorHAnsi"/>
                <w:color w:val="000000" w:themeColor="text1"/>
              </w:rPr>
              <w:t xml:space="preserve"> – при каждом обследовании</w:t>
            </w:r>
          </w:p>
          <w:p w:rsidR="00647B97" w:rsidRPr="0044196C" w:rsidRDefault="009A0232" w:rsidP="00647B97">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 xml:space="preserve">биохимический анализ крови: креатинин с расчетом скорости клубочковой фильтрации методом </w:t>
            </w:r>
            <w:r w:rsidRPr="0044196C">
              <w:rPr>
                <w:rFonts w:asciiTheme="minorHAnsi" w:hAnsiTheme="minorHAnsi"/>
                <w:color w:val="000000" w:themeColor="text1"/>
                <w:lang w:val="en-US"/>
              </w:rPr>
              <w:t>CKD</w:t>
            </w:r>
            <w:r w:rsidRPr="0044196C">
              <w:rPr>
                <w:rFonts w:asciiTheme="minorHAnsi" w:hAnsiTheme="minorHAnsi"/>
                <w:color w:val="000000" w:themeColor="text1"/>
              </w:rPr>
              <w:t>-</w:t>
            </w:r>
            <w:r w:rsidRPr="0044196C">
              <w:rPr>
                <w:rFonts w:asciiTheme="minorHAnsi" w:hAnsiTheme="minorHAnsi"/>
                <w:color w:val="000000" w:themeColor="text1"/>
                <w:lang w:val="en-US"/>
              </w:rPr>
              <w:t>EPI</w:t>
            </w:r>
            <w:r w:rsidRPr="0044196C">
              <w:rPr>
                <w:rFonts w:asciiTheme="minorHAnsi" w:hAnsiTheme="minorHAnsi"/>
                <w:color w:val="000000" w:themeColor="text1"/>
              </w:rPr>
              <w:t>, мочевая кислота, холестерин, триглицериды, глюкоза, калий, кальций</w:t>
            </w:r>
            <w:r w:rsidRPr="0044196C">
              <w:rPr>
                <w:rFonts w:asciiTheme="minorHAnsi" w:hAnsiTheme="minorHAnsi"/>
                <w:color w:val="000000" w:themeColor="text1"/>
              </w:rPr>
              <w:sym w:font="Symbol" w:char="F02A"/>
            </w:r>
            <w:r w:rsidRPr="0044196C">
              <w:rPr>
                <w:rFonts w:asciiTheme="minorHAnsi" w:hAnsiTheme="minorHAnsi"/>
                <w:color w:val="000000" w:themeColor="text1"/>
              </w:rPr>
              <w:t>, фосфор</w:t>
            </w:r>
            <w:r w:rsidRPr="0044196C">
              <w:rPr>
                <w:rFonts w:asciiTheme="minorHAnsi" w:hAnsiTheme="minorHAnsi"/>
                <w:color w:val="000000" w:themeColor="text1"/>
              </w:rPr>
              <w:sym w:font="Symbol" w:char="F02A"/>
            </w:r>
            <w:r w:rsidR="00E15D33" w:rsidRPr="0044196C">
              <w:rPr>
                <w:rFonts w:asciiTheme="minorHAnsi" w:hAnsiTheme="minorHAnsi"/>
                <w:color w:val="000000" w:themeColor="text1"/>
              </w:rPr>
              <w:t>, альбумин</w:t>
            </w:r>
            <w:r w:rsidR="00E15D33" w:rsidRPr="0044196C">
              <w:rPr>
                <w:rFonts w:asciiTheme="minorHAnsi" w:hAnsiTheme="minorHAnsi"/>
                <w:color w:val="000000" w:themeColor="text1"/>
              </w:rPr>
              <w:sym w:font="Symbol" w:char="F02A"/>
            </w:r>
            <w:r w:rsidR="00E15D33" w:rsidRPr="0044196C">
              <w:rPr>
                <w:rFonts w:asciiTheme="minorHAnsi" w:hAnsiTheme="minorHAnsi"/>
                <w:color w:val="000000" w:themeColor="text1"/>
              </w:rPr>
              <w:sym w:font="Symbol" w:char="F02A"/>
            </w:r>
            <w:r w:rsidR="00E15D33" w:rsidRPr="0044196C">
              <w:rPr>
                <w:rFonts w:asciiTheme="minorHAnsi" w:hAnsiTheme="minorHAnsi"/>
                <w:color w:val="000000" w:themeColor="text1"/>
              </w:rPr>
              <w:sym w:font="Symbol" w:char="F02A"/>
            </w:r>
            <w:r w:rsidR="00885009" w:rsidRPr="0044196C">
              <w:rPr>
                <w:rFonts w:asciiTheme="minorHAnsi" w:hAnsiTheme="minorHAnsi"/>
                <w:color w:val="000000" w:themeColor="text1"/>
              </w:rPr>
              <w:t xml:space="preserve"> – при каждом обследовании</w:t>
            </w:r>
          </w:p>
          <w:p w:rsidR="009A0232" w:rsidRPr="0044196C" w:rsidRDefault="00885009" w:rsidP="00885009">
            <w:pPr>
              <w:pStyle w:val="a6"/>
              <w:keepNext/>
              <w:keepLines/>
              <w:numPr>
                <w:ilvl w:val="0"/>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Инструментальные исследования</w:t>
            </w:r>
          </w:p>
          <w:p w:rsidR="00885009" w:rsidRPr="0044196C" w:rsidRDefault="00885009" w:rsidP="00885009">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 xml:space="preserve">СМАД </w:t>
            </w:r>
            <w:r w:rsidRPr="0044196C">
              <w:rPr>
                <w:rFonts w:asciiTheme="minorHAnsi" w:hAnsiTheme="minorHAnsi"/>
                <w:color w:val="000000" w:themeColor="text1"/>
              </w:rPr>
              <w:softHyphen/>
              <w:t xml:space="preserve">– см. рекомендацию </w:t>
            </w:r>
            <w:fldSimple w:instr=" REF _Ref279576134 \r \h  \* MERGEFORMAT ">
              <w:r w:rsidRPr="0044196C">
                <w:rPr>
                  <w:rFonts w:asciiTheme="minorHAnsi" w:hAnsiTheme="minorHAnsi"/>
                  <w:color w:val="000000" w:themeColor="text1"/>
                </w:rPr>
                <w:t>5.3</w:t>
              </w:r>
            </w:fldSimple>
          </w:p>
          <w:p w:rsidR="00885009" w:rsidRPr="0044196C" w:rsidRDefault="00885009" w:rsidP="00885009">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 xml:space="preserve">ЭКГ в 12 отведениях с расчетом </w:t>
            </w:r>
            <w:r w:rsidR="009312FA" w:rsidRPr="0044196C">
              <w:rPr>
                <w:rFonts w:asciiTheme="minorHAnsi" w:hAnsiTheme="minorHAnsi"/>
                <w:color w:val="000000" w:themeColor="text1"/>
              </w:rPr>
              <w:t xml:space="preserve">показателей гипертрофии миокарда левого желудочка: </w:t>
            </w:r>
            <w:r w:rsidRPr="0044196C">
              <w:rPr>
                <w:rFonts w:asciiTheme="minorHAnsi" w:hAnsiTheme="minorHAnsi"/>
                <w:color w:val="000000" w:themeColor="text1"/>
              </w:rPr>
              <w:t>индекса Соколова-Лайона и</w:t>
            </w:r>
            <w:r w:rsidR="009312FA" w:rsidRPr="0044196C">
              <w:rPr>
                <w:rFonts w:asciiTheme="minorHAnsi" w:hAnsiTheme="minorHAnsi"/>
                <w:color w:val="000000" w:themeColor="text1"/>
              </w:rPr>
              <w:t>ли</w:t>
            </w:r>
            <w:r w:rsidRPr="0044196C">
              <w:rPr>
                <w:rFonts w:asciiTheme="minorHAnsi" w:hAnsiTheme="minorHAnsi"/>
                <w:color w:val="000000" w:themeColor="text1"/>
              </w:rPr>
              <w:t xml:space="preserve"> Корнельского показателя – не реже 2 раз в год</w:t>
            </w:r>
          </w:p>
          <w:p w:rsidR="00885009" w:rsidRPr="0044196C" w:rsidRDefault="00885009" w:rsidP="001C0085">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 xml:space="preserve">Эхо-КГ с определением ИММЛЖ и диастолической функции – при первичном обследовании, в дальнейшем не менее 1 раза в  </w:t>
            </w:r>
            <w:r w:rsidR="001C0085" w:rsidRPr="0044196C">
              <w:rPr>
                <w:rFonts w:asciiTheme="minorHAnsi" w:hAnsiTheme="minorHAnsi"/>
                <w:color w:val="000000" w:themeColor="text1"/>
              </w:rPr>
              <w:t xml:space="preserve">2 года; </w:t>
            </w:r>
            <w:r w:rsidRPr="0044196C">
              <w:rPr>
                <w:rFonts w:asciiTheme="minorHAnsi" w:hAnsiTheme="minorHAnsi"/>
                <w:color w:val="000000" w:themeColor="text1"/>
              </w:rPr>
              <w:t>при отсутствии достижения целевого АД</w:t>
            </w:r>
            <w:r w:rsidR="001C0085" w:rsidRPr="0044196C">
              <w:rPr>
                <w:rFonts w:asciiTheme="minorHAnsi" w:hAnsiTheme="minorHAnsi"/>
                <w:color w:val="000000" w:themeColor="text1"/>
              </w:rPr>
              <w:t>, или наличии признаков прогрессирования гипертрофии миокарда левого желудочка, или наличии ХБП С3б-5– не менее 1 раза в год</w:t>
            </w:r>
          </w:p>
          <w:p w:rsidR="001C0085" w:rsidRPr="0044196C" w:rsidRDefault="001C0085" w:rsidP="001C0085">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УЗИ почек – не менее 1 раза в год</w:t>
            </w:r>
          </w:p>
          <w:p w:rsidR="001C0085" w:rsidRPr="0044196C" w:rsidRDefault="001C0085" w:rsidP="001C0085">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 xml:space="preserve">УЗДГ сосудов почек </w:t>
            </w:r>
            <w:r w:rsidRPr="0044196C">
              <w:rPr>
                <w:rFonts w:asciiTheme="minorHAnsi" w:hAnsiTheme="minorHAnsi"/>
                <w:color w:val="000000" w:themeColor="text1"/>
              </w:rPr>
              <w:softHyphen/>
              <w:t xml:space="preserve">– см. рекомендацию </w:t>
            </w:r>
            <w:fldSimple w:instr=" REF _Ref279578292 \r \h  \* MERGEFORMAT ">
              <w:r w:rsidRPr="0044196C">
                <w:rPr>
                  <w:rFonts w:asciiTheme="minorHAnsi" w:hAnsiTheme="minorHAnsi"/>
                  <w:color w:val="000000" w:themeColor="text1"/>
                </w:rPr>
                <w:t>5.4</w:t>
              </w:r>
            </w:fldSimple>
          </w:p>
          <w:p w:rsidR="001C0085" w:rsidRPr="0044196C" w:rsidRDefault="001C0085" w:rsidP="00663C35">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дуплексное исследование сосудов шеи с целью определения толщины комплекса интима-медия, выявления атеросклеротических бляшек</w:t>
            </w:r>
            <w:r w:rsidR="006E604A" w:rsidRPr="0044196C">
              <w:rPr>
                <w:rFonts w:asciiTheme="minorHAnsi" w:hAnsiTheme="minorHAnsi"/>
                <w:color w:val="000000" w:themeColor="text1"/>
              </w:rPr>
              <w:t>, оценки ригидности сосудистой стенки</w:t>
            </w:r>
            <w:r w:rsidRPr="0044196C">
              <w:rPr>
                <w:rFonts w:asciiTheme="minorHAnsi" w:hAnsiTheme="minorHAnsi"/>
                <w:color w:val="000000" w:themeColor="text1"/>
              </w:rPr>
              <w:t xml:space="preserve"> – у мужчин старше 40 лет, женщин старше 50 лет при ХБП С1-3а – не реж</w:t>
            </w:r>
            <w:r w:rsidR="00663C35" w:rsidRPr="0044196C">
              <w:rPr>
                <w:rFonts w:asciiTheme="minorHAnsi" w:hAnsiTheme="minorHAnsi"/>
                <w:color w:val="000000" w:themeColor="text1"/>
              </w:rPr>
              <w:t>е 1 раза в 2 года; при ХБП С4-5</w:t>
            </w:r>
            <w:r w:rsidRPr="0044196C">
              <w:rPr>
                <w:rFonts w:asciiTheme="minorHAnsi" w:hAnsiTheme="minorHAnsi"/>
                <w:color w:val="000000" w:themeColor="text1"/>
              </w:rPr>
              <w:t xml:space="preserve">, независимо от возраста – не реже 1 раза в </w:t>
            </w:r>
            <w:r w:rsidR="00663C35" w:rsidRPr="0044196C">
              <w:rPr>
                <w:rFonts w:asciiTheme="minorHAnsi" w:hAnsiTheme="minorHAnsi"/>
                <w:color w:val="000000" w:themeColor="text1"/>
              </w:rPr>
              <w:t xml:space="preserve">1 </w:t>
            </w:r>
            <w:r w:rsidRPr="0044196C">
              <w:rPr>
                <w:rFonts w:asciiTheme="minorHAnsi" w:hAnsiTheme="minorHAnsi"/>
                <w:color w:val="000000" w:themeColor="text1"/>
              </w:rPr>
              <w:t>год</w:t>
            </w:r>
            <w:r w:rsidR="006E604A" w:rsidRPr="0044196C">
              <w:rPr>
                <w:rFonts w:asciiTheme="minorHAnsi" w:hAnsiTheme="minorHAnsi"/>
                <w:color w:val="000000" w:themeColor="text1"/>
              </w:rPr>
              <w:sym w:font="Symbol" w:char="F02A"/>
            </w:r>
            <w:r w:rsidR="006E604A" w:rsidRPr="0044196C">
              <w:rPr>
                <w:rFonts w:asciiTheme="minorHAnsi" w:hAnsiTheme="minorHAnsi"/>
                <w:color w:val="000000" w:themeColor="text1"/>
              </w:rPr>
              <w:sym w:font="Symbol" w:char="F02A"/>
            </w:r>
            <w:r w:rsidR="006E604A" w:rsidRPr="0044196C">
              <w:rPr>
                <w:rFonts w:asciiTheme="minorHAnsi" w:hAnsiTheme="minorHAnsi"/>
                <w:color w:val="000000" w:themeColor="text1"/>
              </w:rPr>
              <w:sym w:font="Symbol" w:char="F02A"/>
            </w:r>
            <w:r w:rsidR="00E15D33" w:rsidRPr="0044196C">
              <w:rPr>
                <w:rFonts w:asciiTheme="minorHAnsi" w:hAnsiTheme="minorHAnsi"/>
                <w:color w:val="000000" w:themeColor="text1"/>
              </w:rPr>
              <w:sym w:font="Symbol" w:char="F02A"/>
            </w:r>
          </w:p>
          <w:p w:rsidR="00663C35" w:rsidRPr="0044196C" w:rsidRDefault="00663C35" w:rsidP="00663C35">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исследование лодыжечно-плечевого индекса</w:t>
            </w:r>
            <w:r w:rsidR="006E604A" w:rsidRPr="0044196C">
              <w:rPr>
                <w:rFonts w:asciiTheme="minorHAnsi" w:hAnsiTheme="minorHAnsi"/>
                <w:color w:val="000000" w:themeColor="text1"/>
              </w:rPr>
              <w:t>, дуплексное исследование артерий нижних конечностей</w:t>
            </w:r>
            <w:r w:rsidRPr="0044196C">
              <w:rPr>
                <w:rFonts w:asciiTheme="minorHAnsi" w:hAnsiTheme="minorHAnsi"/>
                <w:color w:val="000000" w:themeColor="text1"/>
              </w:rPr>
              <w:t xml:space="preserve"> – при наличии высокого риска (ХБП С3б-5) атеросклероза артерий нижних конечностей или жалоб, физических признаков, характеризующих нарушение проходимости</w:t>
            </w:r>
            <w:r w:rsidR="006E604A" w:rsidRPr="0044196C">
              <w:rPr>
                <w:rFonts w:asciiTheme="minorHAnsi" w:hAnsiTheme="minorHAnsi"/>
                <w:color w:val="000000" w:themeColor="text1"/>
              </w:rPr>
              <w:sym w:font="Symbol" w:char="F02A"/>
            </w:r>
            <w:r w:rsidR="006E604A" w:rsidRPr="0044196C">
              <w:rPr>
                <w:rFonts w:asciiTheme="minorHAnsi" w:hAnsiTheme="minorHAnsi"/>
                <w:color w:val="000000" w:themeColor="text1"/>
              </w:rPr>
              <w:sym w:font="Symbol" w:char="F02A"/>
            </w:r>
            <w:r w:rsidR="006E604A" w:rsidRPr="0044196C">
              <w:rPr>
                <w:rFonts w:asciiTheme="minorHAnsi" w:hAnsiTheme="minorHAnsi"/>
                <w:color w:val="000000" w:themeColor="text1"/>
              </w:rPr>
              <w:sym w:font="Symbol" w:char="F02A"/>
            </w:r>
            <w:r w:rsidR="00E15D33" w:rsidRPr="0044196C">
              <w:rPr>
                <w:rFonts w:asciiTheme="minorHAnsi" w:hAnsiTheme="minorHAnsi"/>
                <w:color w:val="000000" w:themeColor="text1"/>
              </w:rPr>
              <w:sym w:font="Symbol" w:char="F02A"/>
            </w:r>
          </w:p>
          <w:p w:rsidR="006E604A" w:rsidRPr="0044196C" w:rsidRDefault="00663C35" w:rsidP="006E604A">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исследование скорости пульсовой волны</w:t>
            </w:r>
            <w:r w:rsidR="006E604A" w:rsidRPr="0044196C">
              <w:rPr>
                <w:rFonts w:asciiTheme="minorHAnsi" w:hAnsiTheme="minorHAnsi"/>
                <w:color w:val="000000" w:themeColor="text1"/>
              </w:rPr>
              <w:t xml:space="preserve"> – у мужчин старше 40 лет, женщин старше 50 лет при ХБП С1-3а – не реже 1 раза в 2 года; при ХБП С4-5, независимо от возраста – не реже 1 раза в 1 год</w:t>
            </w:r>
            <w:r w:rsidR="006E604A" w:rsidRPr="0044196C">
              <w:rPr>
                <w:rFonts w:asciiTheme="minorHAnsi" w:hAnsiTheme="minorHAnsi"/>
                <w:color w:val="000000" w:themeColor="text1"/>
              </w:rPr>
              <w:sym w:font="Symbol" w:char="F02A"/>
            </w:r>
            <w:r w:rsidR="006E604A" w:rsidRPr="0044196C">
              <w:rPr>
                <w:rFonts w:asciiTheme="minorHAnsi" w:hAnsiTheme="minorHAnsi"/>
                <w:color w:val="000000" w:themeColor="text1"/>
              </w:rPr>
              <w:sym w:font="Symbol" w:char="F02A"/>
            </w:r>
            <w:r w:rsidR="006E604A" w:rsidRPr="0044196C">
              <w:rPr>
                <w:rFonts w:asciiTheme="minorHAnsi" w:hAnsiTheme="minorHAnsi"/>
                <w:color w:val="000000" w:themeColor="text1"/>
              </w:rPr>
              <w:sym w:font="Symbol" w:char="F02A"/>
            </w:r>
            <w:r w:rsidR="00E15D33" w:rsidRPr="0044196C">
              <w:rPr>
                <w:rFonts w:asciiTheme="minorHAnsi" w:hAnsiTheme="minorHAnsi"/>
                <w:color w:val="000000" w:themeColor="text1"/>
              </w:rPr>
              <w:sym w:font="Symbol" w:char="F02A"/>
            </w:r>
          </w:p>
          <w:p w:rsidR="006E604A" w:rsidRPr="0044196C" w:rsidRDefault="006E604A" w:rsidP="006E604A">
            <w:pPr>
              <w:pStyle w:val="a6"/>
              <w:keepNext/>
              <w:keepLines/>
              <w:numPr>
                <w:ilvl w:val="0"/>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Консультации специалистов</w:t>
            </w:r>
          </w:p>
          <w:p w:rsidR="006E604A" w:rsidRPr="0044196C" w:rsidRDefault="006E604A" w:rsidP="006E604A">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консультация окулиста – при первичном обследовании, далее по показаниям</w:t>
            </w:r>
          </w:p>
          <w:p w:rsidR="006E604A" w:rsidRPr="0044196C" w:rsidRDefault="006E604A" w:rsidP="006E604A">
            <w:pPr>
              <w:pStyle w:val="a6"/>
              <w:keepNext/>
              <w:keepLines/>
              <w:numPr>
                <w:ilvl w:val="1"/>
                <w:numId w:val="10"/>
              </w:numPr>
              <w:spacing w:before="60" w:after="60" w:line="260" w:lineRule="exact"/>
              <w:rPr>
                <w:rFonts w:asciiTheme="minorHAnsi" w:hAnsiTheme="minorHAnsi"/>
                <w:color w:val="000000" w:themeColor="text1"/>
              </w:rPr>
            </w:pPr>
            <w:r w:rsidRPr="0044196C">
              <w:rPr>
                <w:rFonts w:asciiTheme="minorHAnsi" w:hAnsiTheme="minorHAnsi"/>
                <w:color w:val="000000" w:themeColor="text1"/>
              </w:rPr>
              <w:t xml:space="preserve">консультация невролога – при наличии жалоб, клинических признаков нарушения мозгового кровотока, выраженного нарушения проходимости сосудов шеи по данным </w:t>
            </w:r>
            <w:r w:rsidR="0019318C" w:rsidRPr="0044196C">
              <w:rPr>
                <w:rFonts w:asciiTheme="minorHAnsi" w:hAnsiTheme="minorHAnsi"/>
                <w:color w:val="000000" w:themeColor="text1"/>
              </w:rPr>
              <w:t>дуплексного исследования</w:t>
            </w:r>
          </w:p>
        </w:tc>
      </w:tr>
    </w:tbl>
    <w:p w:rsidR="00B121D8" w:rsidRPr="0044196C" w:rsidRDefault="00057909" w:rsidP="0019318C">
      <w:pPr>
        <w:spacing w:before="0" w:line="240" w:lineRule="auto"/>
        <w:rPr>
          <w:i/>
          <w:color w:val="000000" w:themeColor="text1"/>
          <w:sz w:val="22"/>
        </w:rPr>
      </w:pPr>
      <w:r w:rsidRPr="0044196C">
        <w:rPr>
          <w:i/>
          <w:color w:val="000000" w:themeColor="text1"/>
          <w:sz w:val="22"/>
          <w:lang w:val="en-US"/>
        </w:rPr>
        <w:sym w:font="Symbol" w:char="F02A"/>
      </w:r>
      <w:r w:rsidRPr="0044196C">
        <w:rPr>
          <w:i/>
          <w:color w:val="000000" w:themeColor="text1"/>
          <w:sz w:val="22"/>
        </w:rPr>
        <w:t xml:space="preserve"> -  для пациентов с ХБП С4-5</w:t>
      </w:r>
    </w:p>
    <w:p w:rsidR="007D3F39" w:rsidRPr="0044196C" w:rsidRDefault="00647B97" w:rsidP="0019318C">
      <w:pPr>
        <w:spacing w:before="0" w:line="240" w:lineRule="auto"/>
        <w:rPr>
          <w:i/>
          <w:color w:val="000000" w:themeColor="text1"/>
          <w:sz w:val="22"/>
        </w:rPr>
      </w:pPr>
      <w:r w:rsidRPr="0044196C">
        <w:rPr>
          <w:i/>
          <w:color w:val="000000" w:themeColor="text1"/>
          <w:sz w:val="22"/>
        </w:rPr>
        <w:sym w:font="Symbol" w:char="F02A"/>
      </w:r>
      <w:r w:rsidRPr="0044196C">
        <w:rPr>
          <w:i/>
          <w:color w:val="000000" w:themeColor="text1"/>
          <w:sz w:val="22"/>
        </w:rPr>
        <w:sym w:font="Symbol" w:char="F02A"/>
      </w:r>
      <w:r w:rsidRPr="0044196C">
        <w:rPr>
          <w:i/>
          <w:color w:val="000000" w:themeColor="text1"/>
          <w:sz w:val="22"/>
        </w:rPr>
        <w:t xml:space="preserve"> - при протеинурии менее 0,5 г/л желательно дополнительное </w:t>
      </w:r>
      <w:r w:rsidR="009A0232" w:rsidRPr="0044196C">
        <w:rPr>
          <w:i/>
          <w:color w:val="000000" w:themeColor="text1"/>
          <w:sz w:val="22"/>
        </w:rPr>
        <w:t>исследование</w:t>
      </w:r>
      <w:r w:rsidRPr="0044196C">
        <w:rPr>
          <w:i/>
          <w:color w:val="000000" w:themeColor="text1"/>
          <w:sz w:val="22"/>
        </w:rPr>
        <w:t xml:space="preserve"> альбуминурии как более чувствительного метода</w:t>
      </w:r>
      <w:r w:rsidR="009A0232" w:rsidRPr="0044196C">
        <w:rPr>
          <w:i/>
          <w:color w:val="000000" w:themeColor="text1"/>
          <w:sz w:val="22"/>
        </w:rPr>
        <w:t xml:space="preserve">; в зависимости от нозологической формы ХБП могут дополнительно потребоваться другие </w:t>
      </w:r>
      <w:r w:rsidR="0019318C" w:rsidRPr="0044196C">
        <w:rPr>
          <w:i/>
          <w:color w:val="000000" w:themeColor="text1"/>
          <w:sz w:val="22"/>
        </w:rPr>
        <w:t>лабораторные исследования</w:t>
      </w:r>
    </w:p>
    <w:p w:rsidR="00E15D33" w:rsidRPr="0044196C" w:rsidRDefault="00E15D33" w:rsidP="0019318C">
      <w:pPr>
        <w:spacing w:before="0" w:line="240" w:lineRule="auto"/>
        <w:rPr>
          <w:i/>
          <w:color w:val="000000" w:themeColor="text1"/>
          <w:sz w:val="22"/>
        </w:rPr>
      </w:pPr>
      <w:r w:rsidRPr="0044196C">
        <w:rPr>
          <w:i/>
          <w:color w:val="000000" w:themeColor="text1"/>
          <w:sz w:val="22"/>
        </w:rPr>
        <w:sym w:font="Symbol" w:char="F02A"/>
      </w:r>
      <w:r w:rsidRPr="0044196C">
        <w:rPr>
          <w:i/>
          <w:color w:val="000000" w:themeColor="text1"/>
          <w:sz w:val="22"/>
        </w:rPr>
        <w:sym w:font="Symbol" w:char="F02A"/>
      </w:r>
      <w:r w:rsidRPr="0044196C">
        <w:rPr>
          <w:i/>
          <w:color w:val="000000" w:themeColor="text1"/>
          <w:sz w:val="22"/>
        </w:rPr>
        <w:sym w:font="Symbol" w:char="F02A"/>
      </w:r>
      <w:r w:rsidRPr="0044196C">
        <w:rPr>
          <w:i/>
          <w:color w:val="000000" w:themeColor="text1"/>
          <w:sz w:val="22"/>
        </w:rPr>
        <w:t xml:space="preserve"> - для пациентов с протеинурией более 1 г/л или ХБП С4-5</w:t>
      </w:r>
    </w:p>
    <w:p w:rsidR="009A0232" w:rsidRPr="0044196C" w:rsidRDefault="006E604A" w:rsidP="0019318C">
      <w:pPr>
        <w:spacing w:before="0" w:line="240" w:lineRule="auto"/>
        <w:rPr>
          <w:color w:val="000000" w:themeColor="text1"/>
        </w:rPr>
      </w:pPr>
      <w:r w:rsidRPr="0044196C">
        <w:rPr>
          <w:i/>
          <w:color w:val="000000" w:themeColor="text1"/>
          <w:sz w:val="22"/>
        </w:rPr>
        <w:sym w:font="Symbol" w:char="F02A"/>
      </w:r>
      <w:r w:rsidRPr="0044196C">
        <w:rPr>
          <w:i/>
          <w:color w:val="000000" w:themeColor="text1"/>
          <w:sz w:val="22"/>
        </w:rPr>
        <w:sym w:font="Symbol" w:char="F02A"/>
      </w:r>
      <w:r w:rsidR="00E15D33" w:rsidRPr="0044196C">
        <w:rPr>
          <w:i/>
          <w:color w:val="000000" w:themeColor="text1"/>
          <w:sz w:val="22"/>
        </w:rPr>
        <w:sym w:font="Symbol" w:char="F02A"/>
      </w:r>
      <w:r w:rsidRPr="0044196C">
        <w:rPr>
          <w:i/>
          <w:color w:val="000000" w:themeColor="text1"/>
          <w:sz w:val="22"/>
        </w:rPr>
        <w:sym w:font="Symbol" w:char="F02A"/>
      </w:r>
      <w:r w:rsidRPr="0044196C">
        <w:rPr>
          <w:i/>
          <w:color w:val="000000" w:themeColor="text1"/>
          <w:sz w:val="22"/>
        </w:rPr>
        <w:t xml:space="preserve"> - при наличии возможности</w:t>
      </w:r>
    </w:p>
    <w:p w:rsidR="007D3F39" w:rsidRPr="0044196C" w:rsidRDefault="007D3F39" w:rsidP="000352FB">
      <w:pPr>
        <w:rPr>
          <w:color w:val="000000" w:themeColor="text1"/>
        </w:rPr>
      </w:pPr>
    </w:p>
    <w:p w:rsidR="00A4636A" w:rsidRPr="0044196C" w:rsidRDefault="00A4636A" w:rsidP="004836D2">
      <w:pPr>
        <w:tabs>
          <w:tab w:val="left" w:pos="3573"/>
        </w:tabs>
        <w:ind w:firstLine="0"/>
        <w:rPr>
          <w:rFonts w:cs="Times New Roman"/>
          <w:color w:val="000000" w:themeColor="text1"/>
        </w:rPr>
      </w:pPr>
    </w:p>
    <w:p w:rsidR="00B91187" w:rsidRPr="0044196C" w:rsidRDefault="00B91187" w:rsidP="00D122F4">
      <w:pPr>
        <w:tabs>
          <w:tab w:val="left" w:pos="3573"/>
        </w:tabs>
        <w:rPr>
          <w:rFonts w:cs="Times New Roman"/>
          <w:color w:val="000000" w:themeColor="text1"/>
        </w:rPr>
      </w:pPr>
    </w:p>
    <w:p w:rsidR="004E36E8" w:rsidRPr="0044196C" w:rsidRDefault="004836D2" w:rsidP="004E36E8">
      <w:pPr>
        <w:pStyle w:val="a0"/>
        <w:rPr>
          <w:color w:val="000000" w:themeColor="text1"/>
        </w:rPr>
      </w:pPr>
      <w:bookmarkStart w:id="36" w:name="_Toc279732202"/>
      <w:r w:rsidRPr="0044196C">
        <w:rPr>
          <w:color w:val="000000" w:themeColor="text1"/>
        </w:rPr>
        <w:t xml:space="preserve">Наличие АГ, </w:t>
      </w:r>
      <w:r w:rsidR="004E36E8" w:rsidRPr="0044196C">
        <w:rPr>
          <w:color w:val="000000" w:themeColor="text1"/>
        </w:rPr>
        <w:t xml:space="preserve">степень повышения АД </w:t>
      </w:r>
      <w:r w:rsidRPr="0044196C">
        <w:rPr>
          <w:color w:val="000000" w:themeColor="text1"/>
        </w:rPr>
        <w:t xml:space="preserve">и </w:t>
      </w:r>
      <w:r w:rsidR="004E36E8" w:rsidRPr="0044196C">
        <w:rPr>
          <w:color w:val="000000" w:themeColor="text1"/>
        </w:rPr>
        <w:t xml:space="preserve">риск </w:t>
      </w:r>
      <w:r w:rsidR="004466FF" w:rsidRPr="0044196C">
        <w:rPr>
          <w:color w:val="000000" w:themeColor="text1"/>
        </w:rPr>
        <w:t>ССО</w:t>
      </w:r>
      <w:r w:rsidR="004E36E8" w:rsidRPr="0044196C">
        <w:rPr>
          <w:color w:val="000000" w:themeColor="text1"/>
        </w:rPr>
        <w:t xml:space="preserve"> отражаются в диагнозе пациента </w:t>
      </w:r>
      <w:r w:rsidRPr="0044196C">
        <w:rPr>
          <w:color w:val="000000" w:themeColor="text1"/>
        </w:rPr>
        <w:t>после указания нозологической формы ХБП</w:t>
      </w:r>
      <w:r w:rsidR="004466FF" w:rsidRPr="0044196C">
        <w:rPr>
          <w:color w:val="000000" w:themeColor="text1"/>
        </w:rPr>
        <w:t>, ее стадии (</w:t>
      </w:r>
      <w:fldSimple w:instr=" REF _Ref279581910 \h  \* MERGEFORMAT ">
        <w:r w:rsidR="004466FF" w:rsidRPr="0044196C">
          <w:rPr>
            <w:color w:val="000000" w:themeColor="text1"/>
          </w:rPr>
          <w:t xml:space="preserve">Таблица </w:t>
        </w:r>
        <w:r w:rsidR="004466FF" w:rsidRPr="0044196C">
          <w:rPr>
            <w:noProof/>
            <w:color w:val="000000" w:themeColor="text1"/>
          </w:rPr>
          <w:t>4</w:t>
        </w:r>
      </w:fldSimple>
      <w:r w:rsidR="004466FF" w:rsidRPr="0044196C">
        <w:rPr>
          <w:color w:val="000000" w:themeColor="text1"/>
        </w:rPr>
        <w:t>) и категории альбуминурии/протеинурии (</w:t>
      </w:r>
      <w:fldSimple w:instr=" REF _Ref279581919 \h  \* MERGEFORMAT ">
        <w:r w:rsidR="004466FF" w:rsidRPr="0044196C">
          <w:rPr>
            <w:color w:val="000000" w:themeColor="text1"/>
          </w:rPr>
          <w:t xml:space="preserve">Таблица </w:t>
        </w:r>
        <w:r w:rsidR="004466FF" w:rsidRPr="0044196C">
          <w:rPr>
            <w:noProof/>
            <w:color w:val="000000" w:themeColor="text1"/>
          </w:rPr>
          <w:t>5</w:t>
        </w:r>
      </w:fldSimple>
      <w:r w:rsidR="004466FF" w:rsidRPr="0044196C">
        <w:rPr>
          <w:color w:val="000000" w:themeColor="text1"/>
        </w:rPr>
        <w:t xml:space="preserve">). Стратификация риска ССО проводится с учетом значения СКФ и альбуминурии/протеинурии </w:t>
      </w:r>
      <w:r w:rsidR="00703273" w:rsidRPr="0044196C">
        <w:rPr>
          <w:color w:val="000000" w:themeColor="text1"/>
        </w:rPr>
        <w:t>(</w:t>
      </w:r>
      <w:fldSimple w:instr=" REF _Ref279583165 \h  \* MERGEFORMAT ">
        <w:r w:rsidR="00703273" w:rsidRPr="0044196C">
          <w:rPr>
            <w:color w:val="000000" w:themeColor="text1"/>
          </w:rPr>
          <w:t xml:space="preserve">Таблица </w:t>
        </w:r>
        <w:r w:rsidR="00703273" w:rsidRPr="0044196C">
          <w:rPr>
            <w:noProof/>
            <w:color w:val="000000" w:themeColor="text1"/>
          </w:rPr>
          <w:t>9</w:t>
        </w:r>
      </w:fldSimple>
      <w:r w:rsidR="00703273" w:rsidRPr="0044196C">
        <w:rPr>
          <w:color w:val="000000" w:themeColor="text1"/>
        </w:rPr>
        <w:t>) (НГ).</w:t>
      </w:r>
      <w:bookmarkEnd w:id="36"/>
    </w:p>
    <w:p w:rsidR="00144EBB" w:rsidRPr="0044196C" w:rsidRDefault="00CF3FFB" w:rsidP="00144EBB">
      <w:pPr>
        <w:tabs>
          <w:tab w:val="left" w:pos="3573"/>
        </w:tabs>
        <w:rPr>
          <w:rFonts w:cs="Times New Roman"/>
          <w:color w:val="000000" w:themeColor="text1"/>
        </w:rPr>
      </w:pPr>
      <w:r w:rsidRPr="0044196C">
        <w:rPr>
          <w:rFonts w:cs="Times New Roman"/>
          <w:color w:val="000000" w:themeColor="text1"/>
        </w:rPr>
        <w:t>Стр</w:t>
      </w:r>
      <w:r w:rsidR="0081427D" w:rsidRPr="0044196C">
        <w:rPr>
          <w:rFonts w:cs="Times New Roman"/>
          <w:color w:val="000000" w:themeColor="text1"/>
        </w:rPr>
        <w:t>атификация риска</w:t>
      </w:r>
      <w:r w:rsidR="00144EBB" w:rsidRPr="0044196C">
        <w:rPr>
          <w:rFonts w:cs="Times New Roman"/>
          <w:color w:val="000000" w:themeColor="text1"/>
        </w:rPr>
        <w:t xml:space="preserve">ССО при ХБП имеет свои особенности. Использование шкалы </w:t>
      </w:r>
      <w:r w:rsidR="00144EBB" w:rsidRPr="0044196C">
        <w:rPr>
          <w:rFonts w:cs="Times New Roman"/>
          <w:color w:val="000000" w:themeColor="text1"/>
          <w:lang w:val="en-US"/>
        </w:rPr>
        <w:t>SCORE</w:t>
      </w:r>
      <w:r w:rsidR="00144EBB" w:rsidRPr="0044196C">
        <w:rPr>
          <w:rFonts w:cs="Times New Roman"/>
          <w:color w:val="000000" w:themeColor="text1"/>
        </w:rPr>
        <w:t xml:space="preserve"> или фремингемской методики расчета сердечно-сосудистого риска при ХБП дает неточные (заниженные) результаты</w:t>
      </w:r>
      <w:r w:rsidR="00CC2B3A" w:rsidRPr="0044196C">
        <w:rPr>
          <w:rFonts w:cs="Times New Roman"/>
          <w:color w:val="000000" w:themeColor="text1"/>
        </w:rPr>
        <w:t xml:space="preserve"> </w:t>
      </w:r>
      <w:r w:rsidR="00257A99" w:rsidRPr="0044196C">
        <w:rPr>
          <w:rFonts w:cs="Times New Roman"/>
          <w:color w:val="000000" w:themeColor="text1"/>
        </w:rPr>
        <w:t>[]</w:t>
      </w:r>
      <w:r w:rsidR="00144EBB" w:rsidRPr="0044196C">
        <w:rPr>
          <w:rFonts w:cs="Times New Roman"/>
          <w:color w:val="000000" w:themeColor="text1"/>
        </w:rPr>
        <w:t>. Рекомендуется использовать систему стратификации комбинированного риска ТПН и ССО у больных ХБП, разработанную экспертной группой KDIGO (KidneyDisease: Improving</w:t>
      </w:r>
      <w:r w:rsidR="00CC2B3A" w:rsidRPr="0044196C">
        <w:rPr>
          <w:rFonts w:cs="Times New Roman"/>
          <w:color w:val="000000" w:themeColor="text1"/>
        </w:rPr>
        <w:t xml:space="preserve"> </w:t>
      </w:r>
      <w:r w:rsidR="00144EBB" w:rsidRPr="0044196C">
        <w:rPr>
          <w:rFonts w:cs="Times New Roman"/>
          <w:color w:val="000000" w:themeColor="text1"/>
        </w:rPr>
        <w:t>Global</w:t>
      </w:r>
      <w:r w:rsidR="00CC2B3A" w:rsidRPr="0044196C">
        <w:rPr>
          <w:rFonts w:cs="Times New Roman"/>
          <w:color w:val="000000" w:themeColor="text1"/>
        </w:rPr>
        <w:t xml:space="preserve"> </w:t>
      </w:r>
      <w:r w:rsidR="00144EBB" w:rsidRPr="0044196C">
        <w:rPr>
          <w:rFonts w:cs="Times New Roman"/>
          <w:color w:val="000000" w:themeColor="text1"/>
        </w:rPr>
        <w:t>Outcomes) [], которая базируется на двух основных показателях – уровне СКФ и категории альбуминурии/протеинурии (</w:t>
      </w:r>
      <w:fldSimple w:instr=" REF _Ref279583165 \h  \* MERGEFORMAT ">
        <w:r w:rsidR="00144EBB" w:rsidRPr="0044196C">
          <w:rPr>
            <w:color w:val="000000" w:themeColor="text1"/>
          </w:rPr>
          <w:t xml:space="preserve">Таблица </w:t>
        </w:r>
        <w:r w:rsidR="00144EBB" w:rsidRPr="0044196C">
          <w:rPr>
            <w:noProof/>
            <w:color w:val="000000" w:themeColor="text1"/>
          </w:rPr>
          <w:t>9</w:t>
        </w:r>
      </w:fldSimple>
      <w:r w:rsidR="00144EBB" w:rsidRPr="0044196C">
        <w:rPr>
          <w:rFonts w:cs="Times New Roman"/>
          <w:color w:val="000000" w:themeColor="text1"/>
        </w:rPr>
        <w:t xml:space="preserve">). </w:t>
      </w:r>
    </w:p>
    <w:p w:rsidR="00703273" w:rsidRPr="0044196C" w:rsidRDefault="00703273" w:rsidP="00703273">
      <w:pPr>
        <w:pStyle w:val="af4"/>
        <w:rPr>
          <w:rFonts w:cs="Times New Roman"/>
          <w:color w:val="000000" w:themeColor="text1"/>
        </w:rPr>
      </w:pPr>
      <w:bookmarkStart w:id="37" w:name="_Ref279583165"/>
      <w:r w:rsidRPr="0044196C">
        <w:rPr>
          <w:color w:val="000000" w:themeColor="text1"/>
        </w:rPr>
        <w:t xml:space="preserve">Таблица </w:t>
      </w:r>
      <w:r w:rsidR="009D7C63" w:rsidRPr="0044196C">
        <w:rPr>
          <w:color w:val="000000" w:themeColor="text1"/>
        </w:rPr>
        <w:fldChar w:fldCharType="begin"/>
      </w:r>
      <w:r w:rsidR="009D7C63" w:rsidRPr="0044196C">
        <w:rPr>
          <w:color w:val="000000" w:themeColor="text1"/>
        </w:rPr>
        <w:instrText xml:space="preserve"> SEQ Таблица \* ARABIC </w:instrText>
      </w:r>
      <w:r w:rsidR="009D7C63" w:rsidRPr="0044196C">
        <w:rPr>
          <w:color w:val="000000" w:themeColor="text1"/>
        </w:rPr>
        <w:fldChar w:fldCharType="separate"/>
      </w:r>
      <w:r w:rsidR="00DF40EA" w:rsidRPr="0044196C">
        <w:rPr>
          <w:noProof/>
          <w:color w:val="000000" w:themeColor="text1"/>
        </w:rPr>
        <w:t>9</w:t>
      </w:r>
      <w:r w:rsidR="009D7C63" w:rsidRPr="0044196C">
        <w:rPr>
          <w:color w:val="000000" w:themeColor="text1"/>
        </w:rPr>
        <w:fldChar w:fldCharType="end"/>
      </w:r>
      <w:bookmarkEnd w:id="37"/>
    </w:p>
    <w:p w:rsidR="004466FF" w:rsidRPr="0044196C" w:rsidRDefault="004466FF" w:rsidP="00703273">
      <w:pPr>
        <w:pStyle w:val="af4"/>
        <w:rPr>
          <w:color w:val="000000" w:themeColor="text1"/>
        </w:rPr>
      </w:pPr>
      <w:r w:rsidRPr="0044196C">
        <w:rPr>
          <w:color w:val="000000" w:themeColor="text1"/>
        </w:rPr>
        <w:t>Шкала KDIGO, 2012 для оценки комбинированного риска ТПН и ССО у больных ХБП в зависимости от уровня СКФ и альбуминурии</w:t>
      </w:r>
    </w:p>
    <w:tbl>
      <w:tblPr>
        <w:tblpPr w:leftFromText="181" w:rightFromText="181" w:bottomFromText="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
        <w:gridCol w:w="690"/>
        <w:gridCol w:w="1843"/>
        <w:gridCol w:w="851"/>
        <w:gridCol w:w="1798"/>
        <w:gridCol w:w="1799"/>
        <w:gridCol w:w="1799"/>
      </w:tblGrid>
      <w:tr w:rsidR="004466FF" w:rsidRPr="0044196C" w:rsidTr="002B4873">
        <w:trPr>
          <w:cantSplit/>
          <w:trHeight w:val="248"/>
        </w:trPr>
        <w:tc>
          <w:tcPr>
            <w:tcW w:w="3936" w:type="dxa"/>
            <w:gridSpan w:val="4"/>
            <w:vMerge w:val="restart"/>
            <w:tcBorders>
              <w:top w:val="single" w:sz="6" w:space="0" w:color="auto"/>
              <w:left w:val="single" w:sz="6" w:space="0" w:color="auto"/>
              <w:bottom w:val="single" w:sz="6" w:space="0" w:color="auto"/>
              <w:right w:val="single" w:sz="6" w:space="0" w:color="auto"/>
            </w:tcBorders>
            <w:vAlign w:val="bottom"/>
            <w:hideMark/>
          </w:tcPr>
          <w:p w:rsidR="004466FF" w:rsidRPr="0044196C" w:rsidRDefault="004466FF" w:rsidP="004466FF">
            <w:pPr>
              <w:keepNext/>
              <w:keepLines/>
              <w:spacing w:before="0" w:line="240" w:lineRule="auto"/>
              <w:ind w:firstLine="0"/>
              <w:jc w:val="left"/>
              <w:rPr>
                <w:rFonts w:asciiTheme="minorHAnsi" w:eastAsia="Calibri" w:hAnsiTheme="minorHAnsi"/>
                <w:b/>
                <w:color w:val="000000" w:themeColor="text1"/>
              </w:rPr>
            </w:pPr>
            <w:r w:rsidRPr="0044196C">
              <w:rPr>
                <w:rFonts w:asciiTheme="minorHAnsi" w:eastAsia="Calibri" w:hAnsiTheme="minorHAnsi"/>
                <w:b/>
                <w:color w:val="000000" w:themeColor="text1"/>
              </w:rPr>
              <w:t>Стадии ХБП</w:t>
            </w:r>
          </w:p>
        </w:tc>
        <w:tc>
          <w:tcPr>
            <w:tcW w:w="5396" w:type="dxa"/>
            <w:gridSpan w:val="3"/>
            <w:tcBorders>
              <w:top w:val="single" w:sz="4" w:space="0" w:color="auto"/>
              <w:left w:val="single" w:sz="6" w:space="0" w:color="auto"/>
              <w:bottom w:val="single" w:sz="4" w:space="0" w:color="auto"/>
              <w:right w:val="single" w:sz="4" w:space="0" w:color="auto"/>
            </w:tcBorders>
            <w:hideMark/>
          </w:tcPr>
          <w:p w:rsidR="004466FF" w:rsidRPr="0044196C" w:rsidRDefault="004466FF" w:rsidP="004466FF">
            <w:pPr>
              <w:keepNext/>
              <w:keepLines/>
              <w:spacing w:after="120" w:line="240" w:lineRule="auto"/>
              <w:ind w:firstLine="0"/>
              <w:jc w:val="center"/>
              <w:rPr>
                <w:rFonts w:asciiTheme="minorHAnsi" w:eastAsia="Calibri" w:hAnsiTheme="minorHAnsi"/>
                <w:color w:val="000000" w:themeColor="text1"/>
              </w:rPr>
            </w:pPr>
            <w:r w:rsidRPr="0044196C">
              <w:rPr>
                <w:rFonts w:asciiTheme="minorHAnsi" w:eastAsia="Calibri" w:hAnsiTheme="minorHAnsi"/>
                <w:b/>
                <w:color w:val="000000" w:themeColor="text1"/>
              </w:rPr>
              <w:t>Альбуминурия</w:t>
            </w:r>
            <w:r w:rsidRPr="0044196C">
              <w:rPr>
                <w:rFonts w:asciiTheme="minorHAnsi" w:eastAsia="Calibri" w:hAnsiTheme="minorHAnsi"/>
                <w:color w:val="000000" w:themeColor="text1"/>
              </w:rPr>
              <w:t>*</w:t>
            </w:r>
          </w:p>
        </w:tc>
      </w:tr>
      <w:tr w:rsidR="004466FF" w:rsidRPr="0044196C" w:rsidTr="002B4873">
        <w:trPr>
          <w:cantSplit/>
          <w:trHeight w:val="248"/>
        </w:trPr>
        <w:tc>
          <w:tcPr>
            <w:tcW w:w="3936" w:type="dxa"/>
            <w:gridSpan w:val="4"/>
            <w:vMerge/>
            <w:tcBorders>
              <w:top w:val="single" w:sz="6" w:space="0" w:color="auto"/>
              <w:left w:val="single" w:sz="6" w:space="0" w:color="auto"/>
              <w:bottom w:val="single" w:sz="6" w:space="0" w:color="auto"/>
              <w:right w:val="single" w:sz="6" w:space="0" w:color="auto"/>
            </w:tcBorders>
            <w:vAlign w:val="center"/>
            <w:hideMark/>
          </w:tcPr>
          <w:p w:rsidR="004466FF" w:rsidRPr="0044196C" w:rsidRDefault="004466FF" w:rsidP="004466FF">
            <w:pPr>
              <w:spacing w:before="0" w:line="240" w:lineRule="auto"/>
              <w:ind w:firstLine="0"/>
              <w:jc w:val="left"/>
              <w:rPr>
                <w:rFonts w:asciiTheme="minorHAnsi" w:eastAsia="Calibri" w:hAnsiTheme="minorHAnsi"/>
                <w:b/>
                <w:color w:val="000000" w:themeColor="text1"/>
              </w:rPr>
            </w:pPr>
          </w:p>
        </w:tc>
        <w:tc>
          <w:tcPr>
            <w:tcW w:w="1798" w:type="dxa"/>
            <w:tcBorders>
              <w:top w:val="single" w:sz="4" w:space="0" w:color="auto"/>
              <w:left w:val="single" w:sz="6" w:space="0" w:color="auto"/>
              <w:bottom w:val="single" w:sz="4" w:space="0" w:color="auto"/>
              <w:right w:val="single" w:sz="4" w:space="0" w:color="auto"/>
            </w:tcBorders>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А1</w:t>
            </w:r>
          </w:p>
        </w:tc>
        <w:tc>
          <w:tcPr>
            <w:tcW w:w="1799" w:type="dxa"/>
            <w:tcBorders>
              <w:top w:val="single" w:sz="4" w:space="0" w:color="auto"/>
              <w:left w:val="single" w:sz="4" w:space="0" w:color="auto"/>
              <w:bottom w:val="single" w:sz="4" w:space="0" w:color="auto"/>
              <w:right w:val="single" w:sz="4" w:space="0" w:color="auto"/>
            </w:tcBorders>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А2</w:t>
            </w:r>
          </w:p>
        </w:tc>
        <w:tc>
          <w:tcPr>
            <w:tcW w:w="1799" w:type="dxa"/>
            <w:tcBorders>
              <w:top w:val="single" w:sz="4" w:space="0" w:color="auto"/>
              <w:left w:val="single" w:sz="4" w:space="0" w:color="auto"/>
              <w:bottom w:val="single" w:sz="4" w:space="0" w:color="auto"/>
              <w:right w:val="single" w:sz="4" w:space="0" w:color="auto"/>
            </w:tcBorders>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А3</w:t>
            </w:r>
          </w:p>
        </w:tc>
      </w:tr>
      <w:tr w:rsidR="004466FF" w:rsidRPr="0044196C" w:rsidTr="002B4873">
        <w:trPr>
          <w:cantSplit/>
          <w:trHeight w:val="248"/>
        </w:trPr>
        <w:tc>
          <w:tcPr>
            <w:tcW w:w="3936" w:type="dxa"/>
            <w:gridSpan w:val="4"/>
            <w:vMerge/>
            <w:tcBorders>
              <w:top w:val="single" w:sz="6" w:space="0" w:color="auto"/>
              <w:left w:val="single" w:sz="6" w:space="0" w:color="auto"/>
              <w:bottom w:val="single" w:sz="6" w:space="0" w:color="auto"/>
              <w:right w:val="single" w:sz="6" w:space="0" w:color="auto"/>
            </w:tcBorders>
            <w:vAlign w:val="center"/>
            <w:hideMark/>
          </w:tcPr>
          <w:p w:rsidR="004466FF" w:rsidRPr="0044196C" w:rsidRDefault="004466FF" w:rsidP="004466FF">
            <w:pPr>
              <w:spacing w:before="0" w:line="240" w:lineRule="auto"/>
              <w:ind w:firstLine="0"/>
              <w:jc w:val="left"/>
              <w:rPr>
                <w:rFonts w:asciiTheme="minorHAnsi" w:eastAsia="Calibri" w:hAnsiTheme="minorHAnsi"/>
                <w:b/>
                <w:color w:val="000000" w:themeColor="text1"/>
              </w:rPr>
            </w:pPr>
          </w:p>
        </w:tc>
        <w:tc>
          <w:tcPr>
            <w:tcW w:w="1798" w:type="dxa"/>
            <w:tcBorders>
              <w:top w:val="single" w:sz="4" w:space="0" w:color="auto"/>
              <w:left w:val="single" w:sz="6" w:space="0" w:color="auto"/>
              <w:bottom w:val="single" w:sz="4" w:space="0" w:color="auto"/>
              <w:right w:val="single" w:sz="4" w:space="0" w:color="auto"/>
            </w:tcBorders>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Оптимальная или незначительно повышенная</w:t>
            </w:r>
          </w:p>
        </w:tc>
        <w:tc>
          <w:tcPr>
            <w:tcW w:w="1799"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Высокая</w:t>
            </w:r>
          </w:p>
        </w:tc>
        <w:tc>
          <w:tcPr>
            <w:tcW w:w="1799"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Очень высокая</w:t>
            </w:r>
          </w:p>
        </w:tc>
      </w:tr>
      <w:tr w:rsidR="004466FF" w:rsidRPr="0044196C" w:rsidTr="002B4873">
        <w:trPr>
          <w:cantSplit/>
          <w:trHeight w:val="248"/>
        </w:trPr>
        <w:tc>
          <w:tcPr>
            <w:tcW w:w="3936" w:type="dxa"/>
            <w:gridSpan w:val="4"/>
            <w:vMerge/>
            <w:tcBorders>
              <w:top w:val="single" w:sz="6" w:space="0" w:color="auto"/>
              <w:left w:val="single" w:sz="6" w:space="0" w:color="auto"/>
              <w:bottom w:val="single" w:sz="6" w:space="0" w:color="auto"/>
              <w:right w:val="single" w:sz="6" w:space="0" w:color="auto"/>
            </w:tcBorders>
            <w:vAlign w:val="center"/>
            <w:hideMark/>
          </w:tcPr>
          <w:p w:rsidR="004466FF" w:rsidRPr="0044196C" w:rsidRDefault="004466FF" w:rsidP="004466FF">
            <w:pPr>
              <w:spacing w:before="0" w:line="240" w:lineRule="auto"/>
              <w:ind w:firstLine="0"/>
              <w:jc w:val="left"/>
              <w:rPr>
                <w:rFonts w:asciiTheme="minorHAnsi" w:eastAsia="Calibri" w:hAnsiTheme="minorHAnsi"/>
                <w:b/>
                <w:color w:val="000000" w:themeColor="text1"/>
              </w:rPr>
            </w:pPr>
          </w:p>
        </w:tc>
        <w:tc>
          <w:tcPr>
            <w:tcW w:w="1798" w:type="dxa"/>
            <w:tcBorders>
              <w:top w:val="single" w:sz="4" w:space="0" w:color="auto"/>
              <w:left w:val="single" w:sz="6" w:space="0" w:color="auto"/>
              <w:bottom w:val="single" w:sz="4" w:space="0" w:color="auto"/>
              <w:right w:val="single" w:sz="4" w:space="0" w:color="auto"/>
            </w:tcBorders>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&lt;30 мг/г</w:t>
            </w:r>
          </w:p>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&lt;3 мг/ммоль</w:t>
            </w:r>
          </w:p>
        </w:tc>
        <w:tc>
          <w:tcPr>
            <w:tcW w:w="1799" w:type="dxa"/>
            <w:tcBorders>
              <w:top w:val="single" w:sz="4" w:space="0" w:color="auto"/>
              <w:left w:val="single" w:sz="4" w:space="0" w:color="auto"/>
              <w:bottom w:val="single" w:sz="4" w:space="0" w:color="auto"/>
              <w:right w:val="single" w:sz="4" w:space="0" w:color="auto"/>
            </w:tcBorders>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30-300 мг/г</w:t>
            </w:r>
          </w:p>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3-30 мг/ммоль</w:t>
            </w:r>
          </w:p>
        </w:tc>
        <w:tc>
          <w:tcPr>
            <w:tcW w:w="1799" w:type="dxa"/>
            <w:tcBorders>
              <w:top w:val="single" w:sz="4" w:space="0" w:color="auto"/>
              <w:left w:val="single" w:sz="4" w:space="0" w:color="auto"/>
              <w:bottom w:val="single" w:sz="4" w:space="0" w:color="auto"/>
              <w:right w:val="single" w:sz="4" w:space="0" w:color="auto"/>
            </w:tcBorders>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&gt;300 мг/г</w:t>
            </w:r>
          </w:p>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&gt;30 мг/ммоль</w:t>
            </w:r>
          </w:p>
        </w:tc>
      </w:tr>
      <w:tr w:rsidR="004466FF" w:rsidRPr="0044196C" w:rsidTr="002B4873">
        <w:trPr>
          <w:cantSplit/>
          <w:trHeight w:val="248"/>
        </w:trPr>
        <w:tc>
          <w:tcPr>
            <w:tcW w:w="552" w:type="dxa"/>
            <w:vMerge w:val="restart"/>
            <w:tcBorders>
              <w:top w:val="single" w:sz="6" w:space="0" w:color="auto"/>
              <w:left w:val="single" w:sz="4" w:space="0" w:color="auto"/>
              <w:bottom w:val="single" w:sz="4" w:space="0" w:color="auto"/>
              <w:right w:val="single" w:sz="4" w:space="0" w:color="auto"/>
            </w:tcBorders>
            <w:textDirection w:val="btL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СКФ, мл/мин/1,73м</w:t>
            </w:r>
            <w:r w:rsidRPr="0044196C">
              <w:rPr>
                <w:rFonts w:asciiTheme="minorHAnsi" w:eastAsia="Calibri" w:hAnsiTheme="minorHAnsi"/>
                <w:color w:val="000000" w:themeColor="text1"/>
                <w:vertAlign w:val="superscript"/>
              </w:rPr>
              <w:t>2</w:t>
            </w:r>
          </w:p>
        </w:tc>
        <w:tc>
          <w:tcPr>
            <w:tcW w:w="690" w:type="dxa"/>
            <w:tcBorders>
              <w:top w:val="single" w:sz="6"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С1</w:t>
            </w:r>
          </w:p>
        </w:tc>
        <w:tc>
          <w:tcPr>
            <w:tcW w:w="1843" w:type="dxa"/>
            <w:tcBorders>
              <w:top w:val="single" w:sz="6"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Высокая или оптимальная</w:t>
            </w:r>
          </w:p>
        </w:tc>
        <w:tc>
          <w:tcPr>
            <w:tcW w:w="851" w:type="dxa"/>
            <w:tcBorders>
              <w:top w:val="single" w:sz="6"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≥90</w:t>
            </w:r>
          </w:p>
        </w:tc>
        <w:tc>
          <w:tcPr>
            <w:tcW w:w="1798" w:type="dxa"/>
            <w:tcBorders>
              <w:top w:val="single" w:sz="4" w:space="0" w:color="auto"/>
              <w:left w:val="single" w:sz="4" w:space="0" w:color="auto"/>
              <w:bottom w:val="single" w:sz="4" w:space="0" w:color="auto"/>
              <w:right w:val="single" w:sz="4" w:space="0" w:color="auto"/>
            </w:tcBorders>
            <w:shd w:val="clear" w:color="auto" w:fill="008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 xml:space="preserve">Низкий** </w:t>
            </w:r>
          </w:p>
        </w:tc>
        <w:tc>
          <w:tcPr>
            <w:tcW w:w="179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Умеренный</w:t>
            </w:r>
          </w:p>
        </w:tc>
        <w:tc>
          <w:tcPr>
            <w:tcW w:w="179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Высокий</w:t>
            </w:r>
          </w:p>
        </w:tc>
      </w:tr>
      <w:tr w:rsidR="004466FF" w:rsidRPr="0044196C" w:rsidTr="002B4873">
        <w:trPr>
          <w:cantSplit/>
          <w:trHeight w:val="248"/>
        </w:trPr>
        <w:tc>
          <w:tcPr>
            <w:tcW w:w="552" w:type="dxa"/>
            <w:vMerge/>
            <w:tcBorders>
              <w:top w:val="single" w:sz="6" w:space="0" w:color="auto"/>
              <w:left w:val="single" w:sz="4" w:space="0" w:color="auto"/>
              <w:bottom w:val="single" w:sz="4" w:space="0" w:color="auto"/>
              <w:right w:val="single" w:sz="4" w:space="0" w:color="auto"/>
            </w:tcBorders>
            <w:vAlign w:val="center"/>
            <w:hideMark/>
          </w:tcPr>
          <w:p w:rsidR="004466FF" w:rsidRPr="0044196C" w:rsidRDefault="004466FF" w:rsidP="004466FF">
            <w:pPr>
              <w:spacing w:before="0" w:line="240" w:lineRule="auto"/>
              <w:ind w:firstLine="0"/>
              <w:jc w:val="left"/>
              <w:rPr>
                <w:rFonts w:asciiTheme="minorHAnsi" w:eastAsia="Calibri" w:hAnsiTheme="minorHAnsi"/>
                <w:color w:val="000000" w:themeColor="text1"/>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С2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Незначительно снижена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60-89</w:t>
            </w:r>
          </w:p>
        </w:tc>
        <w:tc>
          <w:tcPr>
            <w:tcW w:w="1798" w:type="dxa"/>
            <w:tcBorders>
              <w:top w:val="single" w:sz="4" w:space="0" w:color="auto"/>
              <w:left w:val="single" w:sz="4" w:space="0" w:color="auto"/>
              <w:bottom w:val="single" w:sz="4" w:space="0" w:color="auto"/>
              <w:right w:val="single" w:sz="4" w:space="0" w:color="auto"/>
            </w:tcBorders>
            <w:shd w:val="clear" w:color="auto" w:fill="008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Низкий**</w:t>
            </w:r>
          </w:p>
        </w:tc>
        <w:tc>
          <w:tcPr>
            <w:tcW w:w="179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Умеренный</w:t>
            </w:r>
          </w:p>
        </w:tc>
        <w:tc>
          <w:tcPr>
            <w:tcW w:w="179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Высокий</w:t>
            </w:r>
          </w:p>
        </w:tc>
      </w:tr>
      <w:tr w:rsidR="004466FF" w:rsidRPr="0044196C" w:rsidTr="002B4873">
        <w:trPr>
          <w:cantSplit/>
          <w:trHeight w:val="248"/>
        </w:trPr>
        <w:tc>
          <w:tcPr>
            <w:tcW w:w="552" w:type="dxa"/>
            <w:vMerge/>
            <w:tcBorders>
              <w:top w:val="single" w:sz="6" w:space="0" w:color="auto"/>
              <w:left w:val="single" w:sz="4" w:space="0" w:color="auto"/>
              <w:bottom w:val="single" w:sz="4" w:space="0" w:color="auto"/>
              <w:right w:val="single" w:sz="4" w:space="0" w:color="auto"/>
            </w:tcBorders>
            <w:vAlign w:val="center"/>
            <w:hideMark/>
          </w:tcPr>
          <w:p w:rsidR="004466FF" w:rsidRPr="0044196C" w:rsidRDefault="004466FF" w:rsidP="004466FF">
            <w:pPr>
              <w:spacing w:before="0" w:line="240" w:lineRule="auto"/>
              <w:ind w:firstLine="0"/>
              <w:jc w:val="left"/>
              <w:rPr>
                <w:rFonts w:asciiTheme="minorHAnsi" w:eastAsia="Calibri" w:hAnsiTheme="minorHAnsi"/>
                <w:color w:val="000000" w:themeColor="text1"/>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С3а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Умеренно снижена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45-59</w:t>
            </w:r>
          </w:p>
        </w:tc>
        <w:tc>
          <w:tcPr>
            <w:tcW w:w="179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Умеренный</w:t>
            </w:r>
          </w:p>
        </w:tc>
        <w:tc>
          <w:tcPr>
            <w:tcW w:w="179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Высокий</w:t>
            </w:r>
          </w:p>
        </w:tc>
        <w:tc>
          <w:tcPr>
            <w:tcW w:w="179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Очень высокий</w:t>
            </w:r>
          </w:p>
        </w:tc>
      </w:tr>
      <w:tr w:rsidR="004466FF" w:rsidRPr="0044196C" w:rsidTr="002B4873">
        <w:trPr>
          <w:cantSplit/>
          <w:trHeight w:val="248"/>
        </w:trPr>
        <w:tc>
          <w:tcPr>
            <w:tcW w:w="552" w:type="dxa"/>
            <w:vMerge/>
            <w:tcBorders>
              <w:top w:val="single" w:sz="6" w:space="0" w:color="auto"/>
              <w:left w:val="single" w:sz="4" w:space="0" w:color="auto"/>
              <w:bottom w:val="single" w:sz="4" w:space="0" w:color="auto"/>
              <w:right w:val="single" w:sz="4" w:space="0" w:color="auto"/>
            </w:tcBorders>
            <w:vAlign w:val="center"/>
            <w:hideMark/>
          </w:tcPr>
          <w:p w:rsidR="004466FF" w:rsidRPr="0044196C" w:rsidRDefault="004466FF" w:rsidP="004466FF">
            <w:pPr>
              <w:spacing w:before="0" w:line="240" w:lineRule="auto"/>
              <w:ind w:firstLine="0"/>
              <w:jc w:val="left"/>
              <w:rPr>
                <w:rFonts w:asciiTheme="minorHAnsi" w:eastAsia="Calibri" w:hAnsiTheme="minorHAnsi"/>
                <w:color w:val="000000" w:themeColor="text1"/>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С3б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Существенно снижена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30-44</w:t>
            </w:r>
          </w:p>
        </w:tc>
        <w:tc>
          <w:tcPr>
            <w:tcW w:w="1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Высокий</w:t>
            </w:r>
          </w:p>
        </w:tc>
        <w:tc>
          <w:tcPr>
            <w:tcW w:w="179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Очень высокий</w:t>
            </w:r>
          </w:p>
        </w:tc>
        <w:tc>
          <w:tcPr>
            <w:tcW w:w="179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Очень высокий</w:t>
            </w:r>
          </w:p>
        </w:tc>
      </w:tr>
      <w:tr w:rsidR="004466FF" w:rsidRPr="0044196C" w:rsidTr="002B4873">
        <w:trPr>
          <w:cantSplit/>
          <w:trHeight w:val="248"/>
        </w:trPr>
        <w:tc>
          <w:tcPr>
            <w:tcW w:w="552" w:type="dxa"/>
            <w:vMerge/>
            <w:tcBorders>
              <w:top w:val="single" w:sz="6" w:space="0" w:color="auto"/>
              <w:left w:val="single" w:sz="4" w:space="0" w:color="auto"/>
              <w:bottom w:val="single" w:sz="4" w:space="0" w:color="auto"/>
              <w:right w:val="single" w:sz="4" w:space="0" w:color="auto"/>
            </w:tcBorders>
            <w:vAlign w:val="center"/>
            <w:hideMark/>
          </w:tcPr>
          <w:p w:rsidR="004466FF" w:rsidRPr="0044196C" w:rsidRDefault="004466FF" w:rsidP="004466FF">
            <w:pPr>
              <w:spacing w:before="0" w:line="240" w:lineRule="auto"/>
              <w:ind w:firstLine="0"/>
              <w:jc w:val="left"/>
              <w:rPr>
                <w:rFonts w:asciiTheme="minorHAnsi" w:eastAsia="Calibri" w:hAnsiTheme="minorHAnsi"/>
                <w:color w:val="000000" w:themeColor="text1"/>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С4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 xml:space="preserve">Резко </w:t>
            </w:r>
            <w:r w:rsidR="002B4873" w:rsidRPr="0044196C">
              <w:rPr>
                <w:rFonts w:asciiTheme="minorHAnsi" w:eastAsia="Calibri" w:hAnsiTheme="minorHAnsi"/>
                <w:color w:val="000000" w:themeColor="text1"/>
              </w:rPr>
              <w:br/>
            </w:r>
            <w:r w:rsidRPr="0044196C">
              <w:rPr>
                <w:rFonts w:asciiTheme="minorHAnsi" w:eastAsia="Calibri" w:hAnsiTheme="minorHAnsi"/>
                <w:color w:val="000000" w:themeColor="text1"/>
              </w:rPr>
              <w:t>снижена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15-29</w:t>
            </w:r>
          </w:p>
        </w:tc>
        <w:tc>
          <w:tcPr>
            <w:tcW w:w="179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 xml:space="preserve">Очень высокий </w:t>
            </w:r>
          </w:p>
        </w:tc>
        <w:tc>
          <w:tcPr>
            <w:tcW w:w="179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Очень высокий</w:t>
            </w:r>
          </w:p>
        </w:tc>
        <w:tc>
          <w:tcPr>
            <w:tcW w:w="179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Очень высокий</w:t>
            </w:r>
          </w:p>
        </w:tc>
      </w:tr>
      <w:tr w:rsidR="004466FF" w:rsidRPr="0044196C" w:rsidTr="002B4873">
        <w:trPr>
          <w:cantSplit/>
          <w:trHeight w:val="116"/>
        </w:trPr>
        <w:tc>
          <w:tcPr>
            <w:tcW w:w="552" w:type="dxa"/>
            <w:vMerge/>
            <w:tcBorders>
              <w:top w:val="single" w:sz="6" w:space="0" w:color="auto"/>
              <w:left w:val="single" w:sz="4" w:space="0" w:color="auto"/>
              <w:bottom w:val="single" w:sz="4" w:space="0" w:color="auto"/>
              <w:right w:val="single" w:sz="4" w:space="0" w:color="auto"/>
            </w:tcBorders>
            <w:vAlign w:val="center"/>
            <w:hideMark/>
          </w:tcPr>
          <w:p w:rsidR="004466FF" w:rsidRPr="0044196C" w:rsidRDefault="004466FF" w:rsidP="004466FF">
            <w:pPr>
              <w:spacing w:before="0" w:line="240" w:lineRule="auto"/>
              <w:ind w:firstLine="0"/>
              <w:jc w:val="left"/>
              <w:rPr>
                <w:rFonts w:asciiTheme="minorHAnsi" w:eastAsia="Calibri" w:hAnsiTheme="minorHAnsi"/>
                <w:color w:val="000000" w:themeColor="text1"/>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С5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2B4873">
            <w:pPr>
              <w:keepNext/>
              <w:keepLines/>
              <w:spacing w:after="12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ТПН</w:t>
            </w:r>
          </w:p>
        </w:tc>
        <w:tc>
          <w:tcPr>
            <w:tcW w:w="851" w:type="dxa"/>
            <w:tcBorders>
              <w:top w:val="single" w:sz="4" w:space="0" w:color="auto"/>
              <w:left w:val="single" w:sz="4" w:space="0" w:color="auto"/>
              <w:bottom w:val="single" w:sz="4" w:space="0" w:color="auto"/>
              <w:right w:val="single" w:sz="4" w:space="0" w:color="auto"/>
            </w:tcBorders>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&lt;15</w:t>
            </w:r>
          </w:p>
        </w:tc>
        <w:tc>
          <w:tcPr>
            <w:tcW w:w="179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Очень высокий</w:t>
            </w:r>
          </w:p>
        </w:tc>
        <w:tc>
          <w:tcPr>
            <w:tcW w:w="179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Очень высокий</w:t>
            </w:r>
          </w:p>
        </w:tc>
        <w:tc>
          <w:tcPr>
            <w:tcW w:w="179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466FF" w:rsidRPr="0044196C" w:rsidRDefault="004466FF" w:rsidP="004466FF">
            <w:pPr>
              <w:keepNext/>
              <w:keepLines/>
              <w:spacing w:before="0" w:line="240" w:lineRule="auto"/>
              <w:ind w:firstLine="0"/>
              <w:jc w:val="center"/>
              <w:rPr>
                <w:rFonts w:asciiTheme="minorHAnsi" w:eastAsia="Calibri" w:hAnsiTheme="minorHAnsi"/>
                <w:color w:val="000000" w:themeColor="text1"/>
              </w:rPr>
            </w:pPr>
            <w:r w:rsidRPr="0044196C">
              <w:rPr>
                <w:rFonts w:asciiTheme="minorHAnsi" w:eastAsia="Calibri" w:hAnsiTheme="minorHAnsi"/>
                <w:color w:val="000000" w:themeColor="text1"/>
              </w:rPr>
              <w:t>Очень высокий</w:t>
            </w:r>
          </w:p>
        </w:tc>
      </w:tr>
    </w:tbl>
    <w:p w:rsidR="004466FF" w:rsidRPr="0044196C" w:rsidRDefault="004466FF" w:rsidP="004466FF">
      <w:pPr>
        <w:keepNext/>
        <w:keepLines/>
        <w:spacing w:line="240" w:lineRule="auto"/>
        <w:ind w:firstLine="397"/>
        <w:rPr>
          <w:i/>
          <w:color w:val="000000" w:themeColor="text1"/>
          <w:sz w:val="10"/>
          <w:szCs w:val="28"/>
        </w:rPr>
      </w:pPr>
    </w:p>
    <w:p w:rsidR="004466FF" w:rsidRPr="0044196C" w:rsidRDefault="004466FF" w:rsidP="004466FF">
      <w:pPr>
        <w:spacing w:line="240" w:lineRule="auto"/>
        <w:ind w:firstLine="0"/>
        <w:rPr>
          <w:i/>
          <w:color w:val="000000" w:themeColor="text1"/>
          <w:sz w:val="32"/>
          <w:szCs w:val="28"/>
        </w:rPr>
      </w:pPr>
      <w:r w:rsidRPr="0044196C">
        <w:rPr>
          <w:i/>
          <w:color w:val="000000" w:themeColor="text1"/>
          <w:szCs w:val="28"/>
        </w:rPr>
        <w:t>* - альбуминурия определяется как отношение альбумин/креатинин в разовой (предпочтительно утренней) порции мочи; альбуминурия &gt;300 мг/г соответствует уровню протеинурии &gt;0,5 г/л. СКФ – рассчитывается по формуле CKD-EPI.</w:t>
      </w:r>
    </w:p>
    <w:p w:rsidR="004466FF" w:rsidRPr="0044196C" w:rsidRDefault="004466FF" w:rsidP="004466FF">
      <w:pPr>
        <w:spacing w:line="240" w:lineRule="auto"/>
        <w:ind w:firstLine="0"/>
        <w:rPr>
          <w:i/>
          <w:color w:val="000000" w:themeColor="text1"/>
          <w:szCs w:val="28"/>
        </w:rPr>
      </w:pPr>
      <w:r w:rsidRPr="0044196C">
        <w:rPr>
          <w:i/>
          <w:color w:val="000000" w:themeColor="text1"/>
          <w:szCs w:val="28"/>
        </w:rPr>
        <w:t xml:space="preserve">** - низкий риск – т.е. как в общей популяции. При отсутствии признаков повреждения почек категории СКФ С1 или С2 не удовлетворяют критериям ХБП. </w:t>
      </w:r>
    </w:p>
    <w:p w:rsidR="00144EBB" w:rsidRPr="0044196C" w:rsidRDefault="00144EBB" w:rsidP="00144EBB">
      <w:pPr>
        <w:tabs>
          <w:tab w:val="left" w:pos="3573"/>
        </w:tabs>
        <w:rPr>
          <w:rFonts w:cs="Times New Roman"/>
          <w:color w:val="000000" w:themeColor="text1"/>
        </w:rPr>
      </w:pPr>
      <w:r w:rsidRPr="0044196C">
        <w:rPr>
          <w:rFonts w:cs="Times New Roman"/>
          <w:color w:val="000000" w:themeColor="text1"/>
        </w:rPr>
        <w:t xml:space="preserve">Написанию рекомендаций KDIGO по ведению ХБП 2013 г, ставших важной вехой в развитии концепции ХБП,  предшествовал метаанализ 45 когорт, включавших представителей общей популяции, групп риска ХБП, людей с выявленной ХБП – в общей сложности 1 555 332 человек [55]. С высокой степенью доказательности было </w:t>
      </w:r>
      <w:r w:rsidRPr="0044196C">
        <w:rPr>
          <w:rFonts w:cs="Times New Roman"/>
          <w:color w:val="000000" w:themeColor="text1"/>
        </w:rPr>
        <w:lastRenderedPageBreak/>
        <w:t>установлено, что при СКФ ниже 60 мл/мин/1,73 м</w:t>
      </w:r>
      <w:r w:rsidRPr="0044196C">
        <w:rPr>
          <w:rFonts w:cs="Times New Roman"/>
          <w:color w:val="000000" w:themeColor="text1"/>
          <w:vertAlign w:val="superscript"/>
        </w:rPr>
        <w:t>2</w:t>
      </w:r>
      <w:r w:rsidRPr="0044196C">
        <w:rPr>
          <w:rFonts w:cs="Times New Roman"/>
          <w:color w:val="000000" w:themeColor="text1"/>
        </w:rPr>
        <w:t xml:space="preserve"> отмечается резкое повышение смертности и риска неблагоприятных почечных исходов, что существует прямая связь между выраженностью альбуминурии и риском ССО и ТПН, что пациенты с одной и той же стадией ХБП характеризуются более неблагоприятным прогнозом при более выраженной альбуминурии, причем эти закономерности отмечаются у лиц как моложе, так и старше 65 лет. На основании этого исследования экспертная группа  KDIGO подтвердила, что альбуминурия в пределах 30-300 мг/г (то есть в пределах, когда тест на протеинурию может быть слабоположительным или отрицательным) имеет неблагоприятное значение и служит достоверным критерием ХБП.  Более того, повышение общей и сердечно-сосудистой смертности было отмечено даже при альбуминурии 10-29 по сравнению с категорией &lt;10 мг/г.</w:t>
      </w:r>
      <w:r w:rsidRPr="0044196C">
        <w:rPr>
          <w:color w:val="000000" w:themeColor="text1"/>
        </w:rPr>
        <w:t>Серия опубликованных  в последующем метаанализов показала, что неблагоприятное влияние на риск развития ТПН и ССО СКФ ниже 60 мл/мин/1,73 м</w:t>
      </w:r>
      <w:r w:rsidRPr="0044196C">
        <w:rPr>
          <w:color w:val="000000" w:themeColor="text1"/>
          <w:vertAlign w:val="superscript"/>
        </w:rPr>
        <w:t>2</w:t>
      </w:r>
      <w:r w:rsidRPr="0044196C">
        <w:rPr>
          <w:color w:val="000000" w:themeColor="text1"/>
        </w:rPr>
        <w:t xml:space="preserve"> и повышения  альбуминурии проявляется вне зависимости от возраста, пола, наличия артериальной гипертонии и сахарного диабета </w:t>
      </w:r>
      <w:r w:rsidR="009D7C63" w:rsidRPr="0044196C">
        <w:rPr>
          <w:color w:val="000000" w:themeColor="text1"/>
        </w:rPr>
        <w:fldChar w:fldCharType="begin" w:fldLock="1"/>
      </w:r>
      <w:r w:rsidR="00EA3B99" w:rsidRPr="0044196C">
        <w:rPr>
          <w:color w:val="000000" w:themeColor="text1"/>
        </w:rPr>
        <w:instrText>ADDIN CSL_CITATION { "citationItems" : [ { "id" : "ITEM-1", "itemData" : { "ISSN" : "1756-1833", "PMID" : "23360717", "abstract" : "OBJECTIVE: To assess for the presence of a sex interaction in the associations of estimated glomerular filtration rate and albuminuria with all-cause mortality, cardiovascular mortality, and end stage renal disease.\n\nDESIGN: Random effects meta-analysis using pooled individual participant data.\n\nSETTING: 46 cohorts from Europe, North and South America, Asia, and Australasia.\n\nPARTICIPANTS: 2,051,158 participants (54% women) from general population cohorts (n=1,861,052), high risk cohorts (n=151,494), and chronic kidney disease cohorts (n=38,612). Eligible cohorts (except chronic kidney disease cohorts) had at least 1000 participants, outcomes of either mortality or end stage renal disease of \u2265 50 events, and baseline measurements of estimated glomerular filtration rate according to the Chronic Kidney Disease Epidemiology Collaboration equation (mL/min/1.73 m(2)) and urinary albumin-creatinine ratio (mg/g).\n\nRESULTS: Risks of all-cause mortality and cardiovascular mortality were higher in men at all levels of estimated glomerular filtration rate and albumin-creatinine ratio. While higher risk was associated with lower estimated glomerular filtration rate and higher albumin-creatinine ratio in both sexes, the slope of the risk relationship for all-cause mortality and for cardiovascular mortality were steeper in women than in men. Compared with an estimated glomerular filtration rate of 95, the adjusted hazard ratio for all-cause mortality at estimated glomerular filtration rate 45 was 1.32 (95% CI 1.08 to 1.61) in women and 1.22 (1.00 to 1.48) in men (P(interaction)&lt;0.01). Compared with a urinary albumin-creatinine ratio of 5, the adjusted hazard ratio for all-cause mortality at urinary albumin-creatinine ratio 30 was 1.69 (1.54 to 1.84) in women and 1.43 (1.31 to 1.57) in men (P(interaction)&lt;0.01). Conversely, there was no evidence of a sex difference in associations of estimated glomerular filtration rate and urinary albumin-creatinine ratio with end stage renal disease risk.\n\nCONCLUSIONS: Both sexes face increased risk of all-cause mortality, cardiovascular mortality, and end stage renal disease with lower estimated glomerular filtration rates and higher albuminuria. These findings were robust across a large global consortium.", "author" : [ { "dropping-particle" : "", "family" : "Nitsch", "given" : "Dorothea", "non-dropping-particle" : "", "parse-names" : false, "suffix" : "" }, { "dropping-particle" : "", "family" : "Grams", "given" : "Morgan", "non-dropping-particle" : "", "parse-names" : false, "suffix" : "" }, { "dropping-particle" : "", "family" : "Sang", "given" : "Yingying", "non-dropping-particle" : "", "parse-names" : false, "suffix" : "" }, { "dropping-particle" : "", "family" : "Black", "given" : "Corri", "non-dropping-particle" : "", "parse-names" : false, "suffix" : "" }, { "dropping-particle" : "", "family" : "Cirillo", "given" : "Massimo", "non-dropping-particle" : "", "parse-names" : false, "suffix" : "" }, { "dropping-particle" : "", "family" : "Djurdjev", "given" : "Ognjenka", "non-dropping-particle" : "", "parse-names" : false, "suffix" : "" }, { "dropping-particle" : "", "family" : "Iseki", "given" : "Kunitoshi", "non-dropping-particle" : "", "parse-names" : false, "suffix" : "" }, { "dropping-particle" : "", "family" : "Jassal", "given" : "Simerjot K", "non-dropping-particle" : "", "parse-names" : false, "suffix" : "" }, { "dropping-particle" : "", "family" : "Kimm", "given" : "Heejin", "non-dropping-particle" : "", "parse-names" : false, "suffix" : "" }, { "dropping-particle" : "", "family" : "Kronenberg", "given" : "Florian", "non-dropping-particle" : "", "parse-names" : false, "suffix" : "" }, { "dropping-particle" : "", "family" : "Oien", "given" : "Cecilia M", "non-dropping-particle" : "", "parse-names" : false, "suffix" : "" }, { "dropping-particle" : "", "family" : "Levey", "given" : "Andrew S", "non-dropping-particle" : "", "parse-names" : false, "suffix" : "" }, { "dropping-particle" : "", "family" : "Levin", "given" : "Adeera", "non-dropping-particle" : "", "parse-names" : false, "suffix" : "" }, { "dropping-particle" : "", "family" : "Woodward", "given" : "Mark", "non-dropping-particle" : "", "parse-names" : false, "suffix" : "" }, { "dropping-particle" : "", "family" : "Hemmelgarn", "given" : "Brenda R", "non-dropping-particle" : "", "parse-names" : false, "suffix" : "" } ], "container-title" : "BMJ (Clinical research ed.)", "id" : "ITEM-1", "issued" : { "date-parts" : [ [ "2013", "1" ] ] }, "page" : "f324", "title" : "Associations of estimated glomerular filtration rate and albuminuria with mortality and renal failure by sex: a meta-analysis.", "type" : "article-journal", "volume" : "346" }, "uris" : [ "http://www.mendeley.com/documents/?uuid=36afb236-2009-490a-94a4-e0d8e67308c3" ] }, { "id" : "ITEM-2", "itemData" : { "DOI" : "10.1001/jama.2012.16817", "ISSN" : "1538-3598", "PMID" : "23111824", "abstract" : "CONTEXT: Chronic kidney disease (CKD) is prevalent in older individuals, but the risk implications of low estimated glomerular filtration rate (eGFR) and high albuminuria across the full age range are controversial.\n\nOBJECTIVE: To evaluate possible effect modification (interaction) by age of the association of eGFR and albuminuria with clinical risk, examining both relative and absolute risks.\n\nDESIGN, SETTING, AND PARTICIPANTS: Individual-level meta-analysis including 2,051,244 participants from 33 general population or high-risk (of vascular disease) cohorts and 13 CKD cohorts from Asia, Australasia, Europe, and North/South America, conducted in 1972-2011 with a mean follow-up time of 5.8 years (range, 0-31 years).\n\nMAIN OUTCOME MEASURES: Hazard ratios (HRs) of mortality and end-stage renal disease (ESRD) according to eGFR and albuminuria were meta-analyzed across age categories after adjusting for sex, race, cardiovascular disease, diabetes, systolic blood pressure, cholesterol, body mass index, and smoking. Absolute risks were estimated using HRs and average incidence rates.\n\nRESULTS: Mortality (112,325 deaths) and ESRD (8411 events) risks were higher at lower eGFR and higher albuminuria in every age category. In general and high-risk cohorts, relative mortality risk for reduced eGFR decreased with increasing age; eg, adjusted HRs at an eGFR of 45 mL/min/1.73 m2 vs 80 mL/min/1.73 m2 were 3.50 (95% CI, 2.55-4.81), 2.21 (95% CI, 2.02-2.41), 1.59 (95% CI, 1.42-1.77), and 1.35 (95% CI, 1.23-1.48) in age categories 18-54, 55-64, 65-74, and \u226575 years, respectively (P &lt;.05 for age interaction). Absolute risk differences for the same comparisons were higher at older age (9.0 [95% CI, 6.0-12.8], 12.2 [95% CI, 10.3-14.3], 13.3 [95% CI, 9.0-18.6], and 27.2 [95% CI, 13.5-45.5] excess deaths per 1000 person-years, respectively). For increased albuminuria, reduction of relative risk with increasing age was less evident, while differences in absolute risk were higher in older age categories (7.5 [95% CI, 4.3-11.9], 12.2 [95% CI, 7.9-17.6], 22.7 [95% CI, 15.3-31.6], and 34.3 [95% CI, 19.5-52.4] excess deaths per 1000 person-years, respectively by age category, at an albumin-creatinine ratio of 300 mg/g vs 10 mg/g). In CKD cohorts, adjusted relative hazards of mortality did not decrease with age. In all cohorts, ESRD relative risks and absolute risk differences at lower eGFR or higher albuminuria were comparable across age categories.\n\nCONCLUSIONS: Both low eGFR and\u2026", "author" : [ { "dropping-particle" : "", "family" : "Hallan", "given" : "Stein I", "non-dropping-particle" : "", "parse-names" : false, "suffix" : "" }, { "dropping-particle" : "", "family" : "Matsushita", "given" : "Kunihiro", "non-dropping-particle" : "", "parse-names" : false, "suffix" : "" }, { "dropping-particle" : "", "family" : "Sang", "given" : "Yingying", "non-dropping-particle" : "", "parse-names" : false, "suffix" : "" }, { "dropping-particle" : "", "family" : "Mahmoodi", "given" : "Bakhtawar K", "non-dropping-particle" : "", "parse-names" : false, "suffix" : "" }, { "dropping-particle" : "", "family" : "Black", "given" : "Corri", "non-dropping-particle" : "", "parse-names" : false, "suffix" : "" }, { "dropping-particle" : "", "family" : "Ishani", "given" : "Areef", "non-dropping-particle" : "", "parse-names" : false, "suffix" : "" }, { "dropping-particle" : "", "family" : "Kleefstra", "given" : "Nanne", "non-dropping-particle" : "", "parse-names" : false, "suffix" : "" }, { "dropping-particle" : "", "family" : "Naimark", "given" : "David", "non-dropping-particle" : "", "parse-names" : false, "suffix" : "" }, { "dropping-particle" : "", "family" : "Roderick", "given" : "Paul", "non-dropping-particle" : "", "parse-names" : false, "suffix" : "" }, { "dropping-particle" : "", "family" : "Tonelli", "given" : "Marcello", "non-dropping-particle" : "", "parse-names" : false, "suffix" : "" }, { "dropping-particle" : "", "family" : "Wetzels", "given" : "Jack F M", "non-dropping-particle" : "", "parse-names" : false, "suffix" : "" }, { "dropping-particle" : "", "family" : "Astor", "given" : "Brad C", "non-dropping-particle" : "", "parse-names" : false, "suffix" : "" }, { "dropping-particle" : "", "family" : "Gansevoort", "given" : "Ron T", "non-dropping-particle" : "", "parse-names" : false, "suffix" : "" }, { "dropping-particle" : "", "family" : "Levin", "given" : "Adeera", "non-dropping-particle" : "", "parse-names" : false, "suffix" : "" }, { "dropping-particle" : "", "family" : "Wen", "given" : "Chi-Pang", "non-dropping-particle" : "", "parse-names" : false, "suffix" : "" }, { "dropping-particle" : "", "family" : "Coresh", "given" : "Josef", "non-dropping-particle" : "", "parse-names" : false, "suffix" : "" } ], "container-title" : "JAMA : the journal of the American Medical Association", "id" : "ITEM-2", "issue" : "22", "issued" : { "date-parts" : [ [ "2012", "12", "12" ] ] }, "page" : "2349-60", "title" : "Age and association of kidney measures with mortality and end-stage renal disease.", "type" : "article-journal", "volume" : "308" }, "uris" : [ "http://www.mendeley.com/documents/?uuid=8adbcfb3-4a9f-4e46-8df3-e13ef05b471f" ] }, { "id" : "ITEM-3", "itemData" : { "DOI" : "10.1016/S0140-6736(12)61272-0", "ISSN" : "1474-547X", "PMID" : "23013600", "abstract" : "BACKGROUND: Hypertension is the most prevalent comorbidity in individuals with chronic kidney disease. However, whether the association of the kidney disease measures, estimated glomerular filtration rate (eGFR) and albuminuria, with mortality or end-stage renal disease (ESRD) differs by hypertensive status is unknown.\n\nMETHODS: We did a meta-analysis of studies selected according to Chronic Kidney Disease Prognosis Consortium criteria. Data transfer and analyses were done between March, 2011, and June, 2012. We used Cox proportional hazards models to estimate the hazard ratios (HR) of mortality and ESRD associated with eGFR and albuminuria in individuals with and without hypertension.\n\nFINDINGS: We analysed data for 45 cohorts (25 general population, seven high-risk, and 13 chronic kidney disease) with 1,127,656 participants, 364,344 of whom had hypertension. Low eGFR and high albuminuria were associated with mortality irrespective of hypertensive status in the general population and high-risk cohorts. All-cause mortality risk was 1\u00b71-1\u00b72 times higher in individuals with hypertension than in those without hypertension at preserved eGFR. A steeper relative risk gradient in individuals without hypertension than in those with hypertension at eGFR range 45-75 mL/min per 1\u00b773 m(2) led to much the same mortality risk at lower eGFR. With a reference eGFR of 95 mL/min per 1\u00b773 m(2) in each group to explicitly assess interaction, adjusted HR for all-cause mortality at eGFR 45 mL/min per 1\u00b773 m(2) was 1\u00b777 (95% CI 1\u00b757-1\u00b799) in individuals without hypertension versus 1\u00b724 (1\u00b711-1\u00b739) in those with hypertension (p for overall interaction=0\u00b70003). Similarly, for albumin-creatinine ratio of 300 mg/g (vs 5 mg/g), HR was 2\u00b730 (1\u00b798-2\u00b768) in individuals without hypertension versus 2\u00b708 (1\u00b784-2\u00b735) in those with hypertension (p for overall interaction=0\u00b7019). We recorded much the same results for cardiovascular mortality. The associations of eGFR and albuminuria with ESRD, however, did not differ by hypertensive status. Results for chronic kidney disease cohorts were similar to those for general and high-risk population cohorts.\n\nINTERPRETATION: Chronic kidney disease should be regarded as at least an equally relevant risk factor for mortality and ESRD in individuals without hypertension as it is in those with hypertension.\n\nFUNDING: US National Kidney Foundation.", "author" : [ { "dropping-particle" : "", "family" : "Mahmoodi", "given" : "Bakhtawar K", "non-dropping-particle" : "", "parse-names" : false, "suffix" : "" }, { "dropping-particle" : "", "family" : "Matsushita", "given" : "Kunihiro", "non-dropping-particle" : "", "parse-names" : false, "suffix" : "" }, { "dropping-particle" : "", "family" : "Woodward", "given" : "Mark", "non-dropping-particle" : "", "parse-names" : false, "suffix" : "" }, { "dropping-particle" : "", "family" : "Blankestijn", "given" : "Peter J", "non-dropping-particle" : "", "parse-names" : false, "suffix" : "" }, { "dropping-particle" : "", "family" : "Cirillo", "given" : "Massimo", "non-dropping-particle" : "", "parse-names" : false, "suffix" : "" }, { "dropping-particle" : "", "family" : "Ohkubo", "given" : "Takayoshi", "non-dropping-particle" : "", "parse-names" : false, "suffix" : "" }, { "dropping-particle" : "", "family" : "Rossing", "given" : "Peter", "non-dropping-particle" : "", "parse-names" : false, "suffix" : "" }, { "dropping-particle" : "", "family" : "Sarnak", "given" : "Mark J", "non-dropping-particle" : "", "parse-names" : false, "suffix" : "" }, { "dropping-particle" : "", "family" : "Stengel", "given" : "B\u00e9n\u00e9dicte", "non-dropping-particle" : "", "parse-names" : false, "suffix" : "" }, { "dropping-particle" : "", "family" : "Yamagishi", "given" : "Kazumasa", "non-dropping-particle" : "", "parse-names" : false, "suffix" : "" }, { "dropping-particle" : "", "family" : "Yamashita", "given" : "Kentaro", "non-dropping-particle" : "", "parse-names" : false, "suffix" : "" }, { "dropping-particle" : "", "family" : "Zhang", "given" : "Luxia", "non-dropping-particle" : "", "parse-names" : false, "suffix" : "" }, { "dropping-particle" : "", "family" : "Coresh", "given" : "Josef", "non-dropping-particle" : "", "parse-names" : false, "suffix" : "" }, { "dropping-particle" : "", "family" : "Jong", "given" : "Paul E", "non-dropping-particle" : "de", "parse-names" : false, "suffix" : "" }, { "dropping-particle" : "", "family" : "Astor", "given" : "Brad C", "non-dropping-particle" : "", "parse-names" : false, "suffix" : "" } ], "container-title" : "Lancet", "id" : "ITEM-3", "issue" : "9854", "issued" : { "date-parts" : [ [ "2012", "11", "10" ] ] }, "page" : "1649-61", "title" : "Associations of kidney disease measures with mortality and end-stage renal disease in individuals with and without hypertension: a meta-analysis.", "type" : "article-journal", "volume" : "380" }, "uris" : [ "http://www.mendeley.com/documents/?uuid=99d674f6-48b4-4c06-9e02-8ec3da9f8302" ] }, { "id" : "ITEM-4", "itemData" : { "DOI" : "10.1016/S0140-6736(12)61350-6", "ISSN" : "1474-547X", "PMID" : "23013602", "abstract" : "BACKGROUND: Chronic kidney disease is characterised by low estimated glomerular filtration rate (eGFR) and high albuminuria, and is associated with adverse outcomes. Whether these risks are modified by diabetes is unknown.\n\nMETHODS: We did a meta-analysis of studies selected according to Chronic Kidney Disease Prognosis Consortium criteria. Data transfer and analyses were done between March, 2011, and June, 2012. We used Cox proportional hazards models to estimate the hazard ratios (HR) of mortality and end-stage renal disease (ESRD) associated with eGFR and albuminuria in individuals with and without diabetes.\n\nFINDINGS: We analysed data for 1,024,977 participants (128,505 with diabetes) from 30 general population and high-risk cardiovascular cohorts and 13 chronic kidney disease cohorts. In the combined general population and high-risk cohorts with data for all-cause mortality, 75,306 deaths occurred during a mean follow-up of 8\u00b75 years (SD 5\u00b70). In the 23 studies with data for cardiovascular mortality, 21,237 deaths occurred from cardiovascular disease during a mean follow-up of 9\u00b72 years (SD 4\u00b79). In the general and high-risk cohorts, mortality risks were 1\u00b72-1\u00b79 times higher for participants with diabetes than for those without diabetes across the ranges of eGFR and albumin-to-creatinine ratio (ACR). With fixed eGFR and ACR reference points in the diabetes and no diabetes groups, HR of mortality outcomes according to lower eGFR and higher ACR were much the same in participants with and without diabetes (eg, for all-cause mortality at eGFR 45 mL/min per 1\u00b773 m(2) [vs 95 mL/min per 1\u00b773 m(2)], HR 1\u00b735; 95% CI 1\u00b718-1\u00b755; vs 1\u00b733; 1\u00b719-1\u00b748 and at ACR 30 mg/g [vs 5 mg/g], 1\u00b750; 1\u00b735-1\u00b765 vs 1\u00b752; 1\u00b738-1\u00b767). The overall interactions were not significant. We identified much the same findings for ESRD in the chronic kidney disease cohorts.\n\nINTERPRETATION: Despite higher risks for mortality and ESRD in diabetes, the relative risks of these outcomes by eGFR and ACR are much the same irrespective of the presence or absence of diabetes, emphasising the importance of kidney disease as a predictor of clinical outcomes.\n\nFUNDING: US National Kidney Foundation.", "author" : [ { "dropping-particle" : "", "family" : "Fox", "given" : "Caroline S", "non-dropping-particle" : "", "parse-names" : false, "suffix" : "" }, { "dropping-particle" : "", "family" : "Matsushita", "given" : "Kunihiro", "non-dropping-particle" : "", "parse-names" : false, "suffix" : "" }, { "dropping-particle" : "", "family" : "Woodward", "given" : "Mark", "non-dropping-particle" : "", "parse-names" : false, "suffix" : "" }, { "dropping-particle" : "", "family" : "Bilo", "given" : "Henk J G", "non-dropping-particle" : "", "parse-names" : false, "suffix" : "" }, { "dropping-particle" : "", "family" : "Chalmers", "given" : "John", "non-dropping-particle" : "", "parse-names" : false, "suffix" : "" }, { "dropping-particle" : "", "family" : "Heerspink", "given" : "Hiddo J Lambers", "non-dropping-particle" : "", "parse-names" : false, "suffix" : "" }, { "dropping-particle" : "", "family" : "Lee", "given" : "Brian J", "non-dropping-particle" : "", "parse-names" : false, "suffix" : "" }, { "dropping-particle" : "", "family" : "Perkins", "given" : "Robert M", "non-dropping-particle" : "", "parse-names" : false, "suffix" : "" }, { "dropping-particle" : "", "family" : "Rossing", "given" : "Peter", "non-dropping-particle" : "", "parse-names" : false, "suffix" : "" }, { "dropping-particle" : "", "family" : "Sairenchi", "given" : "Toshimi", "non-dropping-particle" : "", "parse-names" : false, "suffix" : "" }, { "dropping-particle" : "", "family" : "Tonelli", "given" : "Marcello", "non-dropping-particle" : "", "parse-names" : false, "suffix" : "" }, { "dropping-particle" : "", "family" : "Vassalotti", "given" : "Joseph A", "non-dropping-particle" : "", "parse-names" : false, "suffix" : "" }, { "dropping-particle" : "", "family" : "Yamagishi", "given" : "Kazumasa", "non-dropping-particle" : "", "parse-names" : false, "suffix" : "" }, { "dropping-particle" : "", "family" : "Coresh", "given" : "Josef", "non-dropping-particle" : "", "parse-names" : false, "suffix" : "" }, { "dropping-particle" : "", "family" : "Jong", "given" : "Paul E", "non-dropping-particle" : "de", "parse-names" : false, "suffix" : "" }, { "dropping-particle" : "", "family" : "Wen", "given" : "Chi-Pang", "non-dropping-particle" : "", "parse-names" : false, "suffix" : "" }, { "dropping-particle" : "", "family" : "Nelson", "given" : "Robert G", "non-dropping-particle" : "", "parse-names" : false, "suffix" : "" } ], "container-title" : "Lancet", "id" : "ITEM-4", "issue" : "9854", "issued" : { "date-parts" : [ [ "2012", "11", "10" ] ] }, "page" : "1662-73", "title" : "Associations of kidney disease measures with mortality and end-stage renal disease in individuals with and without diabetes: a meta-analysis.", "type" : "article-journal", "volume" : "380" }, "uris" : [ "http://www.mendeley.com/documents/?uuid=467805be-6f47-4c3c-bc15-e0532493fe0f" ] } ], "mendeley" : { "previouslyFormattedCitation" : "[Fox \u0438 \u0434\u0440., 2012; Hallan \u0438 \u0434\u0440., 2012; Mahmoodi \u0438 \u0434\u0440., 2012; Nitsch \u0438 \u0434\u0440., 2013]"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[Fox и др., 2012; Hallan и др., 2012; Mahmoodi и др., 2012; Nitsch и др., 2013]</w:t>
      </w:r>
      <w:r w:rsidR="009D7C63" w:rsidRPr="0044196C">
        <w:rPr>
          <w:color w:val="000000" w:themeColor="text1"/>
        </w:rPr>
        <w:fldChar w:fldCharType="end"/>
      </w:r>
      <w:r w:rsidRPr="0044196C">
        <w:rPr>
          <w:color w:val="000000" w:themeColor="text1"/>
        </w:rPr>
        <w:t>.</w:t>
      </w:r>
    </w:p>
    <w:p w:rsidR="004466FF" w:rsidRPr="0044196C" w:rsidRDefault="003750D3" w:rsidP="003808FA">
      <w:pPr>
        <w:tabs>
          <w:tab w:val="left" w:pos="3573"/>
        </w:tabs>
        <w:rPr>
          <w:rFonts w:cs="Times New Roman"/>
          <w:color w:val="000000" w:themeColor="text1"/>
        </w:rPr>
      </w:pPr>
      <w:r w:rsidRPr="0044196C">
        <w:rPr>
          <w:rFonts w:cs="Times New Roman"/>
          <w:color w:val="000000" w:themeColor="text1"/>
        </w:rPr>
        <w:t xml:space="preserve">Ключевое значение величины СКФ и альбуминурии/протеинурии для оценки риска развития ТПН и ССО у пациентов с ХБП </w:t>
      </w:r>
      <w:r w:rsidR="00257A99" w:rsidRPr="0044196C">
        <w:rPr>
          <w:rFonts w:cs="Times New Roman"/>
          <w:color w:val="000000" w:themeColor="text1"/>
        </w:rPr>
        <w:t>не умаля</w:t>
      </w:r>
      <w:r w:rsidRPr="0044196C">
        <w:rPr>
          <w:rFonts w:cs="Times New Roman"/>
          <w:color w:val="000000" w:themeColor="text1"/>
        </w:rPr>
        <w:t>е</w:t>
      </w:r>
      <w:r w:rsidR="00257A99" w:rsidRPr="0044196C">
        <w:rPr>
          <w:rFonts w:cs="Times New Roman"/>
          <w:color w:val="000000" w:themeColor="text1"/>
        </w:rPr>
        <w:t xml:space="preserve">т </w:t>
      </w:r>
      <w:r w:rsidRPr="0044196C">
        <w:rPr>
          <w:rFonts w:cs="Times New Roman"/>
          <w:color w:val="000000" w:themeColor="text1"/>
        </w:rPr>
        <w:t>важность</w:t>
      </w:r>
      <w:r w:rsidR="00257A99" w:rsidRPr="0044196C">
        <w:rPr>
          <w:rFonts w:cs="Times New Roman"/>
          <w:color w:val="000000" w:themeColor="text1"/>
        </w:rPr>
        <w:t xml:space="preserve"> коррекции АГ </w:t>
      </w:r>
      <w:r w:rsidRPr="0044196C">
        <w:rPr>
          <w:rFonts w:cs="Times New Roman"/>
          <w:color w:val="000000" w:themeColor="text1"/>
        </w:rPr>
        <w:t xml:space="preserve">для улучшения общего и почечного прогноза. При этом уровень альбуминурии/протеинурии </w:t>
      </w:r>
      <w:r w:rsidR="003808FA" w:rsidRPr="0044196C">
        <w:rPr>
          <w:rFonts w:cs="Times New Roman"/>
          <w:color w:val="000000" w:themeColor="text1"/>
        </w:rPr>
        <w:t xml:space="preserve">является определяющим критериеминдивидуального </w:t>
      </w:r>
      <w:r w:rsidRPr="0044196C">
        <w:rPr>
          <w:rFonts w:cs="Times New Roman"/>
          <w:color w:val="000000" w:themeColor="text1"/>
        </w:rPr>
        <w:t>выбора целевого АД и антигипертензивных препаратов.</w:t>
      </w:r>
    </w:p>
    <w:p w:rsidR="00B91187" w:rsidRPr="0044196C" w:rsidRDefault="00B91187" w:rsidP="00622DC7">
      <w:pPr>
        <w:pStyle w:val="10"/>
        <w:numPr>
          <w:ilvl w:val="0"/>
          <w:numId w:val="3"/>
        </w:numPr>
        <w:rPr>
          <w:color w:val="000000" w:themeColor="text1"/>
        </w:rPr>
      </w:pPr>
      <w:bookmarkStart w:id="38" w:name="_Toc279732203"/>
      <w:bookmarkStart w:id="39" w:name="_Toc279831042"/>
      <w:r w:rsidRPr="0044196C">
        <w:rPr>
          <w:color w:val="000000" w:themeColor="text1"/>
        </w:rPr>
        <w:t xml:space="preserve">Целевое АД </w:t>
      </w:r>
      <w:r w:rsidR="00464305" w:rsidRPr="0044196C">
        <w:rPr>
          <w:color w:val="000000" w:themeColor="text1"/>
        </w:rPr>
        <w:t>у больных с вторичной почечной АГ.</w:t>
      </w:r>
      <w:bookmarkEnd w:id="38"/>
      <w:bookmarkEnd w:id="39"/>
    </w:p>
    <w:p w:rsidR="00E8632C" w:rsidRPr="0044196C" w:rsidRDefault="00FA29D0" w:rsidP="00F928A6">
      <w:pPr>
        <w:pStyle w:val="a0"/>
        <w:rPr>
          <w:color w:val="000000" w:themeColor="text1"/>
        </w:rPr>
      </w:pPr>
      <w:bookmarkStart w:id="40" w:name="_Toc279732204"/>
      <w:r w:rsidRPr="0044196C">
        <w:rPr>
          <w:color w:val="000000" w:themeColor="text1"/>
        </w:rPr>
        <w:t>Определение целевого АД и т</w:t>
      </w:r>
      <w:r w:rsidR="00464305" w:rsidRPr="0044196C">
        <w:rPr>
          <w:color w:val="000000" w:themeColor="text1"/>
        </w:rPr>
        <w:t xml:space="preserve">актика ведения пациентов с вторичной почечной АГ </w:t>
      </w:r>
      <w:r w:rsidRPr="0044196C">
        <w:rPr>
          <w:color w:val="000000" w:themeColor="text1"/>
        </w:rPr>
        <w:t>должны быть подчинены</w:t>
      </w:r>
      <w:r w:rsidR="00464305" w:rsidRPr="0044196C">
        <w:rPr>
          <w:color w:val="000000" w:themeColor="text1"/>
        </w:rPr>
        <w:t xml:space="preserve"> общим задачам кардио/нефропротекции</w:t>
      </w:r>
      <w:r w:rsidRPr="0044196C">
        <w:rPr>
          <w:color w:val="000000" w:themeColor="text1"/>
        </w:rPr>
        <w:t xml:space="preserve"> и </w:t>
      </w:r>
      <w:r w:rsidR="00464305" w:rsidRPr="0044196C">
        <w:rPr>
          <w:color w:val="000000" w:themeColor="text1"/>
        </w:rPr>
        <w:t xml:space="preserve">индивидуализирована с учетом </w:t>
      </w:r>
      <w:r w:rsidR="00096CF9" w:rsidRPr="0044196C">
        <w:rPr>
          <w:color w:val="000000" w:themeColor="text1"/>
        </w:rPr>
        <w:t xml:space="preserve">возраста, </w:t>
      </w:r>
      <w:r w:rsidRPr="0044196C">
        <w:rPr>
          <w:color w:val="000000" w:themeColor="text1"/>
        </w:rPr>
        <w:t>нозологической формы ХБП</w:t>
      </w:r>
      <w:r w:rsidR="00464305" w:rsidRPr="0044196C">
        <w:rPr>
          <w:color w:val="000000" w:themeColor="text1"/>
        </w:rPr>
        <w:t xml:space="preserve">, выраженности альбуминурии/протеинурии, функции почек, </w:t>
      </w:r>
      <w:r w:rsidR="00BD1C01" w:rsidRPr="0044196C">
        <w:rPr>
          <w:color w:val="000000" w:themeColor="text1"/>
        </w:rPr>
        <w:t>наличия сердечно-сосудистых заболеваний</w:t>
      </w:r>
      <w:r w:rsidR="00490204" w:rsidRPr="0044196C">
        <w:rPr>
          <w:color w:val="000000" w:themeColor="text1"/>
        </w:rPr>
        <w:t xml:space="preserve"> и метаболических нарушений</w:t>
      </w:r>
      <w:r w:rsidR="007F7F47" w:rsidRPr="0044196C">
        <w:rPr>
          <w:color w:val="000000" w:themeColor="text1"/>
        </w:rPr>
        <w:t xml:space="preserve"> (НГ)</w:t>
      </w:r>
      <w:r w:rsidR="00464305" w:rsidRPr="0044196C">
        <w:rPr>
          <w:color w:val="000000" w:themeColor="text1"/>
        </w:rPr>
        <w:t>.</w:t>
      </w:r>
      <w:bookmarkEnd w:id="40"/>
    </w:p>
    <w:p w:rsidR="00FB2D2B" w:rsidRPr="0044196C" w:rsidRDefault="00564819" w:rsidP="00FB2D2B">
      <w:pPr>
        <w:rPr>
          <w:rFonts w:cs="Times New Roman"/>
          <w:color w:val="000000" w:themeColor="text1"/>
        </w:rPr>
      </w:pPr>
      <w:r w:rsidRPr="0044196C">
        <w:rPr>
          <w:rFonts w:cs="Times New Roman"/>
          <w:color w:val="000000" w:themeColor="text1"/>
        </w:rPr>
        <w:t xml:space="preserve">По современным представлениям, определять тактику коррекции АГ и оценивать ее эффективность следует в русле </w:t>
      </w:r>
      <w:r w:rsidRPr="0044196C">
        <w:rPr>
          <w:rFonts w:cs="Times New Roman"/>
          <w:b/>
          <w:color w:val="000000" w:themeColor="text1"/>
        </w:rPr>
        <w:t>двуединой кардио/нефропротективной стратегии</w:t>
      </w:r>
      <w:r w:rsidRPr="0044196C">
        <w:rPr>
          <w:rFonts w:cs="Times New Roman"/>
          <w:color w:val="000000" w:themeColor="text1"/>
        </w:rPr>
        <w:t>, направленной на снижение частоты ССО, представляющих основную причину гибели пациентов с ХБП, и на снижение риска развития ТПН.</w:t>
      </w:r>
      <w:r w:rsidR="00FB2D2B" w:rsidRPr="0044196C">
        <w:rPr>
          <w:rFonts w:cs="Times New Roman"/>
          <w:color w:val="000000" w:themeColor="text1"/>
        </w:rPr>
        <w:t xml:space="preserve">Существуют рациональные </w:t>
      </w:r>
      <w:r w:rsidR="00E43610" w:rsidRPr="0044196C">
        <w:rPr>
          <w:rFonts w:cs="Times New Roman"/>
          <w:color w:val="000000" w:themeColor="text1"/>
        </w:rPr>
        <w:t>аргменты</w:t>
      </w:r>
      <w:r w:rsidR="00FB2D2B" w:rsidRPr="0044196C">
        <w:rPr>
          <w:rFonts w:cs="Times New Roman"/>
          <w:color w:val="000000" w:themeColor="text1"/>
        </w:rPr>
        <w:t xml:space="preserve"> в пользу более строгого контроля АД при нефрогенной АГ – как с точки зрения задач нефропротекции, поскольку вследствие нарушений ауторегуляции почечного кровотока даже начальное повышение АД вызывает клубочковую гипертензию и развитие гломерулосклероза, так и кардиопротекции, поскольку ХБП является доказанным фактором повышенного риска ССО.  </w:t>
      </w:r>
      <w:r w:rsidR="00E43610" w:rsidRPr="0044196C">
        <w:rPr>
          <w:rFonts w:cs="Times New Roman"/>
          <w:color w:val="000000" w:themeColor="text1"/>
        </w:rPr>
        <w:t xml:space="preserve">Однако наличие ХБП связано с </w:t>
      </w:r>
      <w:r w:rsidR="0023659C" w:rsidRPr="0044196C">
        <w:rPr>
          <w:rFonts w:cs="Times New Roman"/>
          <w:color w:val="000000" w:themeColor="text1"/>
        </w:rPr>
        <w:t>повышением</w:t>
      </w:r>
      <w:r w:rsidR="00E43610" w:rsidRPr="0044196C">
        <w:rPr>
          <w:rFonts w:cs="Times New Roman"/>
          <w:color w:val="000000" w:themeColor="text1"/>
        </w:rPr>
        <w:t xml:space="preserve"> резистентности к лечению</w:t>
      </w:r>
      <w:r w:rsidR="004745E3" w:rsidRPr="0044196C">
        <w:rPr>
          <w:rFonts w:cs="Times New Roman"/>
          <w:color w:val="000000" w:themeColor="text1"/>
        </w:rPr>
        <w:t>, а также</w:t>
      </w:r>
      <w:r w:rsidR="0023659C" w:rsidRPr="0044196C">
        <w:rPr>
          <w:rFonts w:cs="Times New Roman"/>
          <w:color w:val="000000" w:themeColor="text1"/>
        </w:rPr>
        <w:t xml:space="preserve"> существенным повышением риска побочных эффектов антигипертензивных препаратов. По этим двум причинам </w:t>
      </w:r>
      <w:r w:rsidR="00E43610" w:rsidRPr="0044196C">
        <w:rPr>
          <w:rFonts w:cs="Times New Roman"/>
          <w:color w:val="000000" w:themeColor="text1"/>
        </w:rPr>
        <w:t xml:space="preserve">задача более строгого контроля АД </w:t>
      </w:r>
      <w:r w:rsidR="0023659C" w:rsidRPr="0044196C">
        <w:rPr>
          <w:rFonts w:cs="Times New Roman"/>
          <w:color w:val="000000" w:themeColor="text1"/>
        </w:rPr>
        <w:t xml:space="preserve">при ХБП </w:t>
      </w:r>
      <w:r w:rsidR="00E43610" w:rsidRPr="0044196C">
        <w:rPr>
          <w:rFonts w:cs="Times New Roman"/>
          <w:color w:val="000000" w:themeColor="text1"/>
        </w:rPr>
        <w:t>может</w:t>
      </w:r>
      <w:r w:rsidR="0023659C" w:rsidRPr="0044196C">
        <w:rPr>
          <w:rFonts w:cs="Times New Roman"/>
          <w:color w:val="000000" w:themeColor="text1"/>
        </w:rPr>
        <w:t xml:space="preserve"> быть трудновыполнимой и связанной с серьезными осложнениями</w:t>
      </w:r>
      <w:r w:rsidR="00E43610" w:rsidRPr="0044196C">
        <w:rPr>
          <w:rFonts w:cs="Times New Roman"/>
          <w:color w:val="000000" w:themeColor="text1"/>
        </w:rPr>
        <w:t xml:space="preserve">. </w:t>
      </w:r>
    </w:p>
    <w:p w:rsidR="00DC28CA" w:rsidRPr="0044196C" w:rsidRDefault="00E575D6" w:rsidP="00564819">
      <w:pPr>
        <w:rPr>
          <w:color w:val="000000" w:themeColor="text1"/>
        </w:rPr>
      </w:pPr>
      <w:r w:rsidRPr="0044196C">
        <w:rPr>
          <w:color w:val="000000" w:themeColor="text1"/>
        </w:rPr>
        <w:t xml:space="preserve">На сегодня становится очевидным, что пациенты с ХБП </w:t>
      </w:r>
      <w:r w:rsidR="00E673E3" w:rsidRPr="0044196C">
        <w:rPr>
          <w:color w:val="000000" w:themeColor="text1"/>
        </w:rPr>
        <w:t xml:space="preserve">– </w:t>
      </w:r>
      <w:r w:rsidR="00B90FFF" w:rsidRPr="0044196C">
        <w:rPr>
          <w:color w:val="000000" w:themeColor="text1"/>
        </w:rPr>
        <w:t>гетерогенная</w:t>
      </w:r>
      <w:r w:rsidR="00E673E3" w:rsidRPr="0044196C">
        <w:rPr>
          <w:color w:val="000000" w:themeColor="text1"/>
        </w:rPr>
        <w:t xml:space="preserve"> группа, по разному отвечающая на антигипертензивную терапию. </w:t>
      </w:r>
      <w:r w:rsidR="00B90FFF" w:rsidRPr="0044196C">
        <w:rPr>
          <w:color w:val="000000" w:themeColor="text1"/>
        </w:rPr>
        <w:t xml:space="preserve">Преимущества более строгого контроля АД, определенных классов антигипертензивных препаратов, чувствительность к терапии, снижающей АД, ее  переносимость и безопасность </w:t>
      </w:r>
      <w:r w:rsidR="00DC28CA" w:rsidRPr="0044196C">
        <w:rPr>
          <w:color w:val="000000" w:themeColor="text1"/>
        </w:rPr>
        <w:t>–</w:t>
      </w:r>
      <w:r w:rsidR="00CC2B3A" w:rsidRPr="0044196C">
        <w:rPr>
          <w:color w:val="000000" w:themeColor="text1"/>
        </w:rPr>
        <w:t xml:space="preserve"> </w:t>
      </w:r>
      <w:r w:rsidR="00DC28CA" w:rsidRPr="0044196C">
        <w:rPr>
          <w:color w:val="000000" w:themeColor="text1"/>
        </w:rPr>
        <w:t>на все эти важнейшие характеристики, от которых зависит тактика лечения, влияет целый ряд факторов.</w:t>
      </w:r>
    </w:p>
    <w:p w:rsidR="00DC28CA" w:rsidRPr="0044196C" w:rsidRDefault="00490204" w:rsidP="00564819">
      <w:pPr>
        <w:rPr>
          <w:color w:val="000000" w:themeColor="text1"/>
        </w:rPr>
      </w:pPr>
      <w:r w:rsidRPr="0044196C">
        <w:rPr>
          <w:color w:val="000000" w:themeColor="text1"/>
        </w:rPr>
        <w:lastRenderedPageBreak/>
        <w:t xml:space="preserve">Возраст, наличие сахарного диабета, величина альбуминурии/протеинурии и степень снижения функции, определяющие риск ССО, являются важнейшими из них. Наличие </w:t>
      </w:r>
      <w:r w:rsidR="009014FA" w:rsidRPr="0044196C">
        <w:rPr>
          <w:color w:val="000000" w:themeColor="text1"/>
        </w:rPr>
        <w:t xml:space="preserve">нарушений мозгового кровообращения, ишемической </w:t>
      </w:r>
      <w:r w:rsidR="008110DE" w:rsidRPr="0044196C">
        <w:rPr>
          <w:color w:val="000000" w:themeColor="text1"/>
        </w:rPr>
        <w:t>болезни сердца, нарушений ритма</w:t>
      </w:r>
      <w:r w:rsidR="009014FA" w:rsidRPr="0044196C">
        <w:rPr>
          <w:color w:val="000000" w:themeColor="text1"/>
        </w:rPr>
        <w:t xml:space="preserve">необходимо учитывать при выборе целевого АД и антигипертензивных препаратов в соответствии с Национальными рекомендациями по контролю АГ []. </w:t>
      </w:r>
      <w:r w:rsidR="008110DE" w:rsidRPr="0044196C">
        <w:rPr>
          <w:color w:val="000000" w:themeColor="text1"/>
        </w:rPr>
        <w:t xml:space="preserve">Нарушения липидного и пуринового обмена связаны с высоким риском ССО, резистентностью к антигипертензивным препаратам, повышенным риском их побочных действий. </w:t>
      </w:r>
    </w:p>
    <w:p w:rsidR="00D8154E" w:rsidRPr="0044196C" w:rsidRDefault="00FD6A98" w:rsidP="003F3974">
      <w:pPr>
        <w:pStyle w:val="a0"/>
        <w:keepNext w:val="0"/>
        <w:rPr>
          <w:color w:val="000000" w:themeColor="text1"/>
        </w:rPr>
      </w:pPr>
      <w:bookmarkStart w:id="41" w:name="_Toc279732205"/>
      <w:r w:rsidRPr="0044196C">
        <w:rPr>
          <w:color w:val="000000" w:themeColor="text1"/>
        </w:rPr>
        <w:t xml:space="preserve">У больных </w:t>
      </w:r>
      <w:r w:rsidR="006A0438" w:rsidRPr="0044196C">
        <w:rPr>
          <w:color w:val="000000" w:themeColor="text1"/>
        </w:rPr>
        <w:t>ХБП</w:t>
      </w:r>
      <w:r w:rsidR="00D8154E" w:rsidRPr="0044196C">
        <w:rPr>
          <w:color w:val="000000" w:themeColor="text1"/>
        </w:rPr>
        <w:t xml:space="preserve"> без</w:t>
      </w:r>
      <w:r w:rsidR="006A0438" w:rsidRPr="0044196C">
        <w:rPr>
          <w:color w:val="000000" w:themeColor="text1"/>
        </w:rPr>
        <w:t xml:space="preserve"> сахарн</w:t>
      </w:r>
      <w:r w:rsidR="00D8154E" w:rsidRPr="0044196C">
        <w:rPr>
          <w:color w:val="000000" w:themeColor="text1"/>
        </w:rPr>
        <w:t>ого</w:t>
      </w:r>
      <w:r w:rsidR="006A0438" w:rsidRPr="0044196C">
        <w:rPr>
          <w:color w:val="000000" w:themeColor="text1"/>
        </w:rPr>
        <w:t xml:space="preserve"> диабет</w:t>
      </w:r>
      <w:r w:rsidR="00D8154E" w:rsidRPr="0044196C">
        <w:rPr>
          <w:color w:val="000000" w:themeColor="text1"/>
        </w:rPr>
        <w:t xml:space="preserve">а </w:t>
      </w:r>
      <w:r w:rsidRPr="0044196C">
        <w:rPr>
          <w:color w:val="000000" w:themeColor="text1"/>
        </w:rPr>
        <w:t xml:space="preserve">с </w:t>
      </w:r>
      <w:r w:rsidR="006A0438" w:rsidRPr="0044196C">
        <w:rPr>
          <w:color w:val="000000" w:themeColor="text1"/>
        </w:rPr>
        <w:t xml:space="preserve">нормальной или незначительно повышенной альбуминурией (категория А1) </w:t>
      </w:r>
      <w:r w:rsidR="006A0438" w:rsidRPr="0044196C">
        <w:rPr>
          <w:i/>
          <w:color w:val="000000" w:themeColor="text1"/>
        </w:rPr>
        <w:t>рекомендуется</w:t>
      </w:r>
      <w:r w:rsidR="006A0438" w:rsidRPr="0044196C">
        <w:rPr>
          <w:color w:val="000000" w:themeColor="text1"/>
        </w:rPr>
        <w:t xml:space="preserve"> начинать лечение препаратами, снижающими АД, при </w:t>
      </w:r>
      <w:r w:rsidR="00096CF9" w:rsidRPr="0044196C">
        <w:rPr>
          <w:color w:val="000000" w:themeColor="text1"/>
        </w:rPr>
        <w:t xml:space="preserve">стойком повышении </w:t>
      </w:r>
      <w:r w:rsidR="006A0438" w:rsidRPr="0044196C">
        <w:rPr>
          <w:color w:val="000000" w:themeColor="text1"/>
        </w:rPr>
        <w:t xml:space="preserve">САД </w:t>
      </w:r>
      <w:r w:rsidR="003208A8" w:rsidRPr="0044196C">
        <w:rPr>
          <w:color w:val="000000" w:themeColor="text1"/>
        </w:rPr>
        <w:t>≥</w:t>
      </w:r>
      <w:r w:rsidR="006A0438" w:rsidRPr="0044196C">
        <w:rPr>
          <w:color w:val="000000" w:themeColor="text1"/>
        </w:rPr>
        <w:t xml:space="preserve"> 140 или ДАД </w:t>
      </w:r>
      <w:r w:rsidR="003208A8" w:rsidRPr="0044196C">
        <w:rPr>
          <w:color w:val="000000" w:themeColor="text1"/>
        </w:rPr>
        <w:t>≥</w:t>
      </w:r>
      <w:r w:rsidR="006A0438" w:rsidRPr="0044196C">
        <w:rPr>
          <w:color w:val="000000" w:themeColor="text1"/>
        </w:rPr>
        <w:t xml:space="preserve"> 90 мм рт.ст. </w:t>
      </w:r>
      <w:r w:rsidR="004B6CD0" w:rsidRPr="0044196C">
        <w:rPr>
          <w:color w:val="000000" w:themeColor="text1"/>
        </w:rPr>
        <w:t>и добиваться достижения уровня</w:t>
      </w:r>
      <w:r w:rsidR="006A0438" w:rsidRPr="0044196C">
        <w:rPr>
          <w:color w:val="000000" w:themeColor="text1"/>
        </w:rPr>
        <w:t xml:space="preserve"> САД </w:t>
      </w:r>
      <w:r w:rsidR="003208A8" w:rsidRPr="0044196C">
        <w:rPr>
          <w:color w:val="000000" w:themeColor="text1"/>
        </w:rPr>
        <w:t>&lt;</w:t>
      </w:r>
      <w:r w:rsidR="006A0438" w:rsidRPr="0044196C">
        <w:rPr>
          <w:color w:val="000000" w:themeColor="text1"/>
        </w:rPr>
        <w:t xml:space="preserve"> 140 и ДАД </w:t>
      </w:r>
      <w:r w:rsidR="003208A8" w:rsidRPr="0044196C">
        <w:rPr>
          <w:color w:val="000000" w:themeColor="text1"/>
        </w:rPr>
        <w:t>&lt;</w:t>
      </w:r>
      <w:r w:rsidR="006A0438" w:rsidRPr="0044196C">
        <w:rPr>
          <w:color w:val="000000" w:themeColor="text1"/>
        </w:rPr>
        <w:t xml:space="preserve"> 90 мм рт.ст.</w:t>
      </w:r>
      <w:r w:rsidR="000D6477" w:rsidRPr="0044196C">
        <w:rPr>
          <w:color w:val="000000" w:themeColor="text1"/>
        </w:rPr>
        <w:t xml:space="preserve"> (1В)</w:t>
      </w:r>
      <w:r w:rsidR="004B6CD0" w:rsidRPr="0044196C">
        <w:rPr>
          <w:color w:val="000000" w:themeColor="text1"/>
        </w:rPr>
        <w:t>.</w:t>
      </w:r>
      <w:bookmarkEnd w:id="41"/>
    </w:p>
    <w:p w:rsidR="002127A4" w:rsidRPr="0044196C" w:rsidRDefault="002127A4" w:rsidP="003F3974">
      <w:pPr>
        <w:pStyle w:val="a0"/>
        <w:keepNext w:val="0"/>
        <w:rPr>
          <w:color w:val="000000" w:themeColor="text1"/>
        </w:rPr>
      </w:pPr>
      <w:bookmarkStart w:id="42" w:name="_Toc279732206"/>
      <w:r w:rsidRPr="0044196C">
        <w:rPr>
          <w:color w:val="000000" w:themeColor="text1"/>
        </w:rPr>
        <w:t xml:space="preserve">У больных ХБП без сахарного диабета с высокой альбуминурией (категория А2) эксперты </w:t>
      </w:r>
      <w:r w:rsidRPr="0044196C">
        <w:rPr>
          <w:i/>
          <w:color w:val="000000" w:themeColor="text1"/>
        </w:rPr>
        <w:t>полагают целесообразным</w:t>
      </w:r>
      <w:r w:rsidRPr="0044196C">
        <w:rPr>
          <w:color w:val="000000" w:themeColor="text1"/>
        </w:rPr>
        <w:t xml:space="preserve"> начинать лечение препаратами, снижающими АД, при стойком повышении САД </w:t>
      </w:r>
      <w:r w:rsidR="003208A8" w:rsidRPr="0044196C">
        <w:rPr>
          <w:color w:val="000000" w:themeColor="text1"/>
        </w:rPr>
        <w:t>≥</w:t>
      </w:r>
      <w:r w:rsidRPr="0044196C">
        <w:rPr>
          <w:color w:val="000000" w:themeColor="text1"/>
        </w:rPr>
        <w:t xml:space="preserve"> 130 или ДАД </w:t>
      </w:r>
      <w:r w:rsidR="003208A8" w:rsidRPr="0044196C">
        <w:rPr>
          <w:color w:val="000000" w:themeColor="text1"/>
        </w:rPr>
        <w:t>≥</w:t>
      </w:r>
      <w:r w:rsidRPr="0044196C">
        <w:rPr>
          <w:color w:val="000000" w:themeColor="text1"/>
        </w:rPr>
        <w:t xml:space="preserve"> 80 мм рт.ст. </w:t>
      </w:r>
      <w:r w:rsidR="004B6CD0" w:rsidRPr="0044196C">
        <w:rPr>
          <w:color w:val="000000" w:themeColor="text1"/>
        </w:rPr>
        <w:t xml:space="preserve">и добиваться достижения уровня </w:t>
      </w:r>
      <w:r w:rsidRPr="0044196C">
        <w:rPr>
          <w:color w:val="000000" w:themeColor="text1"/>
        </w:rPr>
        <w:t xml:space="preserve">САД </w:t>
      </w:r>
      <w:r w:rsidR="003208A8" w:rsidRPr="0044196C">
        <w:rPr>
          <w:color w:val="000000" w:themeColor="text1"/>
        </w:rPr>
        <w:t>&lt;</w:t>
      </w:r>
      <w:r w:rsidRPr="0044196C">
        <w:rPr>
          <w:color w:val="000000" w:themeColor="text1"/>
        </w:rPr>
        <w:t xml:space="preserve"> 130 и ДАД </w:t>
      </w:r>
      <w:r w:rsidR="003208A8" w:rsidRPr="0044196C">
        <w:rPr>
          <w:color w:val="000000" w:themeColor="text1"/>
        </w:rPr>
        <w:t>&lt;</w:t>
      </w:r>
      <w:r w:rsidRPr="0044196C">
        <w:rPr>
          <w:color w:val="000000" w:themeColor="text1"/>
        </w:rPr>
        <w:t xml:space="preserve"> 80 мм рт.ст. (2</w:t>
      </w:r>
      <w:r w:rsidRPr="0044196C">
        <w:rPr>
          <w:color w:val="000000" w:themeColor="text1"/>
          <w:lang w:val="en-US"/>
        </w:rPr>
        <w:t>D</w:t>
      </w:r>
      <w:r w:rsidRPr="0044196C">
        <w:rPr>
          <w:color w:val="000000" w:themeColor="text1"/>
        </w:rPr>
        <w:t>)</w:t>
      </w:r>
      <w:r w:rsidR="004B6CD0" w:rsidRPr="0044196C">
        <w:rPr>
          <w:color w:val="000000" w:themeColor="text1"/>
        </w:rPr>
        <w:t>.</w:t>
      </w:r>
      <w:bookmarkEnd w:id="42"/>
    </w:p>
    <w:p w:rsidR="002127A4" w:rsidRPr="0044196C" w:rsidRDefault="002127A4" w:rsidP="003F3974">
      <w:pPr>
        <w:pStyle w:val="a0"/>
        <w:keepNext w:val="0"/>
        <w:rPr>
          <w:color w:val="000000" w:themeColor="text1"/>
        </w:rPr>
      </w:pPr>
      <w:bookmarkStart w:id="43" w:name="_Toc279732207"/>
      <w:r w:rsidRPr="0044196C">
        <w:rPr>
          <w:color w:val="000000" w:themeColor="text1"/>
        </w:rPr>
        <w:t xml:space="preserve">У больных ХБП без сахарного диабета с очень высокой альбуминурией и/или протеинурией &gt; 0,5 г/сут (категория А3) эксперты </w:t>
      </w:r>
      <w:r w:rsidRPr="0044196C">
        <w:rPr>
          <w:i/>
          <w:color w:val="000000" w:themeColor="text1"/>
        </w:rPr>
        <w:t>полагают целесообразным</w:t>
      </w:r>
      <w:r w:rsidRPr="0044196C">
        <w:rPr>
          <w:color w:val="000000" w:themeColor="text1"/>
        </w:rPr>
        <w:t xml:space="preserve"> начинать лечение препаратами, снижающими АД, при стойком повышении САД </w:t>
      </w:r>
      <w:r w:rsidR="003208A8" w:rsidRPr="0044196C">
        <w:rPr>
          <w:color w:val="000000" w:themeColor="text1"/>
        </w:rPr>
        <w:t>≥</w:t>
      </w:r>
      <w:r w:rsidRPr="0044196C">
        <w:rPr>
          <w:color w:val="000000" w:themeColor="text1"/>
        </w:rPr>
        <w:t xml:space="preserve"> 130 или ДАД </w:t>
      </w:r>
      <w:r w:rsidR="003208A8" w:rsidRPr="0044196C">
        <w:rPr>
          <w:color w:val="000000" w:themeColor="text1"/>
        </w:rPr>
        <w:t>≥</w:t>
      </w:r>
      <w:r w:rsidRPr="0044196C">
        <w:rPr>
          <w:color w:val="000000" w:themeColor="text1"/>
        </w:rPr>
        <w:t xml:space="preserve"> 80 мм рт.ст. </w:t>
      </w:r>
      <w:r w:rsidR="004B6CD0" w:rsidRPr="0044196C">
        <w:rPr>
          <w:color w:val="000000" w:themeColor="text1"/>
        </w:rPr>
        <w:t xml:space="preserve">и добиваться достиженияуровня </w:t>
      </w:r>
      <w:r w:rsidRPr="0044196C">
        <w:rPr>
          <w:color w:val="000000" w:themeColor="text1"/>
        </w:rPr>
        <w:t xml:space="preserve">САД </w:t>
      </w:r>
      <w:r w:rsidR="003208A8" w:rsidRPr="0044196C">
        <w:rPr>
          <w:color w:val="000000" w:themeColor="text1"/>
        </w:rPr>
        <w:t>&lt;</w:t>
      </w:r>
      <w:r w:rsidRPr="0044196C">
        <w:rPr>
          <w:color w:val="000000" w:themeColor="text1"/>
        </w:rPr>
        <w:t xml:space="preserve"> 130 и ДАД </w:t>
      </w:r>
      <w:r w:rsidR="003208A8" w:rsidRPr="0044196C">
        <w:rPr>
          <w:color w:val="000000" w:themeColor="text1"/>
        </w:rPr>
        <w:t>&lt;</w:t>
      </w:r>
      <w:r w:rsidRPr="0044196C">
        <w:rPr>
          <w:color w:val="000000" w:themeColor="text1"/>
        </w:rPr>
        <w:t xml:space="preserve"> 80 мм рт.ст. (2С)</w:t>
      </w:r>
      <w:r w:rsidR="004B6CD0" w:rsidRPr="0044196C">
        <w:rPr>
          <w:color w:val="000000" w:themeColor="text1"/>
        </w:rPr>
        <w:t>.</w:t>
      </w:r>
      <w:bookmarkEnd w:id="43"/>
    </w:p>
    <w:p w:rsidR="002127A4" w:rsidRPr="0044196C" w:rsidRDefault="009014FA" w:rsidP="003F3974">
      <w:pPr>
        <w:pStyle w:val="a0"/>
        <w:keepNext w:val="0"/>
        <w:rPr>
          <w:color w:val="000000" w:themeColor="text1"/>
        </w:rPr>
      </w:pPr>
      <w:bookmarkStart w:id="44" w:name="_Toc279732208"/>
      <w:r w:rsidRPr="0044196C">
        <w:rPr>
          <w:color w:val="000000" w:themeColor="text1"/>
        </w:rPr>
        <w:t xml:space="preserve">У больных ХБП с сахарным диабетом с нормальной или незначительно повышенной альбуминурией (категория А1) </w:t>
      </w:r>
      <w:r w:rsidRPr="0044196C">
        <w:rPr>
          <w:i/>
          <w:color w:val="000000" w:themeColor="text1"/>
        </w:rPr>
        <w:t>рекомендуется</w:t>
      </w:r>
      <w:r w:rsidRPr="0044196C">
        <w:rPr>
          <w:color w:val="000000" w:themeColor="text1"/>
        </w:rPr>
        <w:t xml:space="preserve"> начинать лечение препаратами, снижающими АД, при стойком повышении САД ≥ 140 или ДАД ≥ 80 мм рт.ст. и добиваться достижения уровня САД &lt; 140 и ДАД &lt; 80 мм рт.ст. (1В).</w:t>
      </w:r>
      <w:bookmarkEnd w:id="44"/>
    </w:p>
    <w:p w:rsidR="00654E61" w:rsidRPr="0044196C" w:rsidRDefault="006A0438" w:rsidP="003F3974">
      <w:pPr>
        <w:pStyle w:val="a0"/>
        <w:keepNext w:val="0"/>
        <w:rPr>
          <w:color w:val="000000" w:themeColor="text1"/>
        </w:rPr>
      </w:pPr>
      <w:bookmarkStart w:id="45" w:name="_Toc279732209"/>
      <w:r w:rsidRPr="0044196C">
        <w:rPr>
          <w:color w:val="000000" w:themeColor="text1"/>
        </w:rPr>
        <w:t xml:space="preserve">У больных </w:t>
      </w:r>
      <w:r w:rsidR="000D6477" w:rsidRPr="0044196C">
        <w:rPr>
          <w:color w:val="000000" w:themeColor="text1"/>
        </w:rPr>
        <w:t xml:space="preserve">ХБП с сахарным диабетом </w:t>
      </w:r>
      <w:r w:rsidRPr="0044196C">
        <w:rPr>
          <w:color w:val="000000" w:themeColor="text1"/>
        </w:rPr>
        <w:t xml:space="preserve">с высокой </w:t>
      </w:r>
      <w:r w:rsidR="000D6477" w:rsidRPr="0044196C">
        <w:rPr>
          <w:color w:val="000000" w:themeColor="text1"/>
        </w:rPr>
        <w:t xml:space="preserve">и очень высокой </w:t>
      </w:r>
      <w:r w:rsidRPr="0044196C">
        <w:rPr>
          <w:color w:val="000000" w:themeColor="text1"/>
        </w:rPr>
        <w:t>альбуминурией (категори</w:t>
      </w:r>
      <w:r w:rsidR="000D6477" w:rsidRPr="0044196C">
        <w:rPr>
          <w:color w:val="000000" w:themeColor="text1"/>
        </w:rPr>
        <w:t>и</w:t>
      </w:r>
      <w:r w:rsidRPr="0044196C">
        <w:rPr>
          <w:color w:val="000000" w:themeColor="text1"/>
        </w:rPr>
        <w:t xml:space="preserve"> А</w:t>
      </w:r>
      <w:r w:rsidR="000D6477" w:rsidRPr="0044196C">
        <w:rPr>
          <w:color w:val="000000" w:themeColor="text1"/>
        </w:rPr>
        <w:t>2 и A3</w:t>
      </w:r>
      <w:r w:rsidRPr="0044196C">
        <w:rPr>
          <w:color w:val="000000" w:themeColor="text1"/>
        </w:rPr>
        <w:t>)</w:t>
      </w:r>
      <w:r w:rsidR="00096CF9" w:rsidRPr="0044196C">
        <w:rPr>
          <w:color w:val="000000" w:themeColor="text1"/>
        </w:rPr>
        <w:t xml:space="preserve"> эксперты </w:t>
      </w:r>
      <w:r w:rsidR="00096CF9" w:rsidRPr="0044196C">
        <w:rPr>
          <w:i/>
          <w:color w:val="000000" w:themeColor="text1"/>
        </w:rPr>
        <w:t>полагают целесообразным</w:t>
      </w:r>
      <w:r w:rsidR="00096CF9" w:rsidRPr="0044196C">
        <w:rPr>
          <w:color w:val="000000" w:themeColor="text1"/>
        </w:rPr>
        <w:t xml:space="preserve"> начинать лечение препаратами, снижающими АД, при стойком повышении САД </w:t>
      </w:r>
      <w:r w:rsidR="003208A8" w:rsidRPr="0044196C">
        <w:rPr>
          <w:color w:val="000000" w:themeColor="text1"/>
        </w:rPr>
        <w:t>≥</w:t>
      </w:r>
      <w:r w:rsidR="00096CF9" w:rsidRPr="0044196C">
        <w:rPr>
          <w:color w:val="000000" w:themeColor="text1"/>
        </w:rPr>
        <w:t xml:space="preserve"> 130 или ДАД </w:t>
      </w:r>
      <w:r w:rsidR="003208A8" w:rsidRPr="0044196C">
        <w:rPr>
          <w:color w:val="000000" w:themeColor="text1"/>
        </w:rPr>
        <w:t>≥</w:t>
      </w:r>
      <w:r w:rsidR="00096CF9" w:rsidRPr="0044196C">
        <w:rPr>
          <w:color w:val="000000" w:themeColor="text1"/>
        </w:rPr>
        <w:t xml:space="preserve"> 80 мм рт.ст. </w:t>
      </w:r>
      <w:r w:rsidR="004B6CD0" w:rsidRPr="0044196C">
        <w:rPr>
          <w:color w:val="000000" w:themeColor="text1"/>
        </w:rPr>
        <w:t xml:space="preserve">и </w:t>
      </w:r>
      <w:r w:rsidR="00096CF9" w:rsidRPr="0044196C">
        <w:rPr>
          <w:color w:val="000000" w:themeColor="text1"/>
        </w:rPr>
        <w:t xml:space="preserve"> добиваться</w:t>
      </w:r>
      <w:r w:rsidR="004B6CD0" w:rsidRPr="0044196C">
        <w:rPr>
          <w:color w:val="000000" w:themeColor="text1"/>
        </w:rPr>
        <w:t xml:space="preserve"> достижения</w:t>
      </w:r>
      <w:r w:rsidR="00096CF9" w:rsidRPr="0044196C">
        <w:rPr>
          <w:color w:val="000000" w:themeColor="text1"/>
        </w:rPr>
        <w:t xml:space="preserve"> уровня САД </w:t>
      </w:r>
      <w:r w:rsidR="003208A8" w:rsidRPr="0044196C">
        <w:rPr>
          <w:color w:val="000000" w:themeColor="text1"/>
        </w:rPr>
        <w:t>&lt;</w:t>
      </w:r>
      <w:r w:rsidR="00096CF9" w:rsidRPr="0044196C">
        <w:rPr>
          <w:color w:val="000000" w:themeColor="text1"/>
        </w:rPr>
        <w:t xml:space="preserve"> 130 и ДАД </w:t>
      </w:r>
      <w:r w:rsidR="003208A8" w:rsidRPr="0044196C">
        <w:rPr>
          <w:color w:val="000000" w:themeColor="text1"/>
        </w:rPr>
        <w:t>&lt;</w:t>
      </w:r>
      <w:r w:rsidR="00096CF9" w:rsidRPr="0044196C">
        <w:rPr>
          <w:color w:val="000000" w:themeColor="text1"/>
        </w:rPr>
        <w:t xml:space="preserve"> 80 мм рт.ст. (2</w:t>
      </w:r>
      <w:r w:rsidR="00096CF9" w:rsidRPr="0044196C">
        <w:rPr>
          <w:color w:val="000000" w:themeColor="text1"/>
          <w:lang w:val="en-US"/>
        </w:rPr>
        <w:t>D</w:t>
      </w:r>
      <w:r w:rsidR="00096CF9" w:rsidRPr="0044196C">
        <w:rPr>
          <w:color w:val="000000" w:themeColor="text1"/>
        </w:rPr>
        <w:t>)</w:t>
      </w:r>
      <w:r w:rsidR="004B6CD0" w:rsidRPr="0044196C">
        <w:rPr>
          <w:color w:val="000000" w:themeColor="text1"/>
        </w:rPr>
        <w:t>.</w:t>
      </w:r>
      <w:bookmarkEnd w:id="45"/>
    </w:p>
    <w:p w:rsidR="003A2836" w:rsidRPr="0044196C" w:rsidRDefault="003A2836" w:rsidP="000D707B">
      <w:pPr>
        <w:pStyle w:val="a0"/>
        <w:rPr>
          <w:color w:val="000000" w:themeColor="text1"/>
        </w:rPr>
      </w:pPr>
      <w:bookmarkStart w:id="46" w:name="_Toc279732210"/>
      <w:r w:rsidRPr="0044196C">
        <w:rPr>
          <w:color w:val="000000" w:themeColor="text1"/>
        </w:rPr>
        <w:t>Важнейшим условием эффективности и безопасности терапии, снижающей АД, у пациентов с ХБП является стабильность достигнутых результатов, исключение резких колебаний АД, эпизодов ортостатической и ночной гипотонии. Добиваться снижения систолического АД до уровня &lt;</w:t>
      </w:r>
      <w:r w:rsidRPr="0044196C">
        <w:rPr>
          <w:color w:val="000000" w:themeColor="text1"/>
          <w:lang w:val="en-US"/>
        </w:rPr>
        <w:t> </w:t>
      </w:r>
      <w:r w:rsidRPr="0044196C">
        <w:rPr>
          <w:color w:val="000000" w:themeColor="text1"/>
        </w:rPr>
        <w:t>120 мм рт.ст. не рекомендуется (НГ).</w:t>
      </w:r>
      <w:bookmarkEnd w:id="46"/>
    </w:p>
    <w:p w:rsidR="003F3974" w:rsidRPr="0044196C" w:rsidRDefault="003F3974" w:rsidP="003F3974">
      <w:pPr>
        <w:rPr>
          <w:color w:val="000000" w:themeColor="text1"/>
          <w:lang w:val="en-US"/>
        </w:rPr>
      </w:pPr>
      <w:r w:rsidRPr="0044196C">
        <w:rPr>
          <w:color w:val="000000" w:themeColor="text1"/>
        </w:rPr>
        <w:t xml:space="preserve">Идея о целесообразности снижения АД до уровня ниже высокого нормального была основана на результатах эпидемиологических исследований. Так, исследование MRFIT (332544 мужчины, средняя длительность наблюдения 16 лет) показало, что у лиц с высоким нормальным АД риск ТПН в 1,9 раз выше, чем у лиц с оптимальным АД (&lt;120/80 мм рт.ст.)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"10.1056/NEJM199601043340103", "ISSN" : "0028-4793", "PMID" : "7494564", "abstract" : "BACKGROUND: End-stage renal disease in the United States creates a large burden for both individuals and society as a whole. Efforts to prevent the condition require an understanding of modifiable risk factors.\n\nMETHODS: We assessed the development of end-stage renal disease through 1990 in 332,544 men, 35 to 57 years of age, who were screened between 1973 and 1975 for entry into the Multiple Risk Factor Intervention Trial (MRFIT). We used data from the national registry for treated end-stage renal disease of the Health Care Financing Administration and from records on death from renal disease from the National Death Index and the Social Security Administration.\n\nRESULTS: During an average of 16 years of follow-up, 814 subjects either died of end-stage renal disease or were treated for that condition (15.6 cases per 100,000 person-years of observation). A strong, graded relation between both systolic and diastolic blood pressure and end-stage renal disease was identified, independent of associations between the disease and age, race, income, use of medication for diabetes mellitus, history of myocardial infarction, serum cholesterol concentration, and cigarette smoking. As compared with men with an optimal level of blood pressure (systolic pressure &lt; 120 mm Hg and diastolic pressure &lt; 80 mm Hg), the relative risk of end-stage renal disease for those with stage 4 hypertension (systolic pressure &gt; or = 210 mm Hg or diastolic pressure &gt; or = 120 mm Hg) was 22.1 (P &lt; 0.001). These relations were not due to end-stage renal disease that occurred soon after screening and, in the 12,866 screened men who entered the MRFIT study, were not changed by taking into account the base-line serum creatinine concentration and urinary protein excretion. The estimated risk of end-stage renal disease associated with elevations of systolic pressure was greater than that linked with elevations of diastolic pressure when both variables were considered together.\n\nCONCLUSIONS: Elevations of blood pressure are a strong independent risk factor for end-stage renal disease; interventions to prevent the disease need to emphasize the prevention and control of both high-normal and high blood pressure.", "author" : [ { "dropping-particle" : "", "family" : "Klag", "given" : "M J", "non-dropping-particle" : "", "parse-names" : false, "suffix" : "" }, { "dropping-particle" : "", "family" : "Whelton", "given" : "P K", "non-dropping-particle" : "", "parse-names" : false, "suffix" : "" }, { "dropping-particle" : "", "family" : "Randall", "given" : "B L", "non-dropping-particle" : "", "parse-names" : false, "suffix" : "" }, { "dropping-particle" : "", "family" : "Neaton", "given" : "J D", "non-dropping-particle" : "", "parse-names" : false, "suffix" : "" }, { "dropping-particle" : "", "family" : "Brancati", "given" : "F L", "non-dropping-particle" : "", "parse-names" : false, "suffix" : "" }, { "dropping-particle" : "", "family" : "Ford", "given" : "C E", "non-dropping-particle" : "", "parse-names" : false, "suffix" : "" }, { "dropping-particle" : "", "family" : "Shulman", "given" : "N B", "non-dropping-particle" : "", "parse-names" : false, "suffix" : "" }, { "dropping-particle" : "", "family" : "Stamler", "given" : "J", "non-dropping-particle" : "", "parse-names" : false, "suffix" : "" } ], "container-title" : "The New England journal of medicine", "id" : "ITEM-1", "issue" : "1", "issued" : { "date-parts" : [ [ "1996", "1", "4" ] ] }, "page" : "13-8", "title" : "Blood pressure and end-stage renal disease in men.", "type" : "article-journal", "volume" : "334" }, "uris" : [ "http://www.mendeley.com/documents/?uuid=6dee752d-f7ac-4059-b1a9-98e684487605" ] } ], "mendeley" : { "previouslyFormattedCitation" : "[Klag \u0438 \u0434\u0440., 1996]"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[Klag и др., 1996]</w:t>
      </w:r>
      <w:r w:rsidR="009D7C63" w:rsidRPr="0044196C">
        <w:rPr>
          <w:color w:val="000000" w:themeColor="text1"/>
        </w:rPr>
        <w:fldChar w:fldCharType="end"/>
      </w:r>
      <w:r w:rsidRPr="0044196C">
        <w:rPr>
          <w:color w:val="000000" w:themeColor="text1"/>
        </w:rPr>
        <w:t>. Интервенционное исследование MDRD, в котором было изучено влияние сочетания малобелковой диеты и строгого контроля АД на скорость снижения функции почек, показало, что более строгий контроль АД по сравнению со стандартной терапией (АД &lt;140/90 мм рт.ст.) снижал риск ТПН у больных с выраженной протеинурией</w:t>
      </w:r>
      <w:r w:rsidR="00B971C6" w:rsidRPr="0044196C">
        <w:rPr>
          <w:color w:val="000000" w:themeColor="text1"/>
        </w:rPr>
        <w:t xml:space="preserve">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"10.1056/NEJM199403313301301", "ISSN" : "0028-4793", "PMID" : "8114857", "abstract" : "BACKGROUND: Restricting protein intake and controlling hypertension delay the progression of renal disease in animals. We tested these interventions in 840 patients with various chronic renal diseases.\n\nMETHODS: In study 1, 585 patients with glomerular filtration rates of 25 to 55 ml per minute per 1.73 m2 of body-surface area were randomly assigned to a usual-protein diet or a low-protein diet (1.3 or 0.58 g of protein per kilogram of body weight per day) and to a usual- or a low-blood-pressure group (mean arterial pressure, 107 or 92 mm Hg). In study 2, 255 patients with glomerular filtration rates of 13 to 24 ml per minute per 1.73 m2 were randomly assigned to the low-protein diet (0.58 g per kilogram per day) or a very-low-protein diet (0.28 g per kilogram per day) with a keto acid-amino acid supplement, and a usual- or a low-blood-pressure group (same values as those in study 1). An 18-to-45-month follow-up was planned, with monthly evaluations of the patients.\n\nRESULTS: The mean follow-up was 2.2 years. In study 1, the projected mean decline in the glomerular filtration rate at three years did not differ significantly between the diet groups or between the blood-pressure groups. As compared with the usual-protein group and the usual-blood-pressure group, the low-protein group and the low-blood-pressure group had a more rapid decline in the glomerular filtration rate during the first four months after randomization and a slower decline thereafter. In study 2, the very-low-protein group had a marginally slower decline in the glomerular filtration rate than did the low-protein group (P = 0.07). There was no delay in the time to the occurrence of end-stage renal disease or death. In both studies, patients in the low-blood-pressure group who had more pronounced proteinuria at base line had a significantly slower rate of decline in the glomerular filtration rate.\n\nCONCLUSIONS: Among patients with moderate renal insufficiency, the slower decline in renal function that started four months after the introduction of a low-protein diet suggests a small benefit of this dietary intervention. Among patients with more severe renal insufficiency, a very-low-protein diet, as compared with a low-protein diet, did not significantly slow the progression of renal disease.", "author" : [ { "dropping-particle" : "", "family" : "Klahr", "given" : "S", "non-dropping-particle" : "", "parse-names" : false, "suffix" : "" }, { "dropping-particle" : "", "family" : "Levey", "given" : "A S", "non-dropping-particle" : "", "parse-names" : false, "suffix" : "" }, { "dropping-particle" : "", "family" : "Beck", "given" : "G J", "non-dropping-particle" : "", "parse-names" : false, "suffix" : "" }, { "dropping-particle" : "", "family" : "Caggiula", "given" : "A W", "non-dropping-particle" : "", "parse-names" : false, "suffix" : "" }, { "dropping-particle" : "", "family" : "Hunsicker", "given" : "L", "non-dropping-particle" : "", "parse-names" : false, "suffix" : "" }, { "dropping-particle" : "", "family" : "Kusek", "given" : "J W", "non-dropping-particle" : "", "parse-names" : false, "suffix" : "" }, { "dropping-particle" : "", "family" : "Striker", "given" : "G", "non-dropping-particle" : "", "parse-names" : false, "suffix" : "" } ], "container-title" : "The New England journal of medicine", "id" : "ITEM-1", "issue" : "13", "issued" : { "date-parts" : [ [ "1994", "3", "31" ] ] }, "page" : "877-84", "title" : "The effects of dietary protein restriction and blood-pressure control on the progression of chronic renal disease. Modification of Diet in Renal Disease Study Group.", "type" : "article-journal", "volume" : "330" }, "uris" : [ "http://www.mendeley.com/documents/?uuid=6374b89c-3954-4b94-ae82-1daf7507aa16" ] } ], "mendeley" : { "previouslyFormattedCitation" : "[Klahr \u0438 \u0434\u0440., 1994]"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[Klahr и др., 1994]</w:t>
      </w:r>
      <w:r w:rsidR="009D7C63" w:rsidRPr="0044196C">
        <w:rPr>
          <w:color w:val="000000" w:themeColor="text1"/>
        </w:rPr>
        <w:fldChar w:fldCharType="end"/>
      </w:r>
      <w:r w:rsidRPr="0044196C">
        <w:rPr>
          <w:color w:val="000000" w:themeColor="text1"/>
        </w:rPr>
        <w:t xml:space="preserve">, чтонашло отражение в многочисленных </w:t>
      </w:r>
      <w:r w:rsidRPr="0044196C">
        <w:rPr>
          <w:color w:val="000000" w:themeColor="text1"/>
        </w:rPr>
        <w:lastRenderedPageBreak/>
        <w:t xml:space="preserve">рекомендациях по контролю АД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"10.1097/01.hjh.0000059051.65882.32", "ISSN" : "0263-6352", "PMID" : "12777938", "author" : [ { "dropping-particle" : "", "family" : "European Society of Hypertension\u2013European Society of Cardiology Guidelines Committee", "given" : "", "non-dropping-particle" : "", "parse-names" : false, "suffix" : "" } ], "container-title" : "Journal of hypertension", "id" : "ITEM-1", "issue" : "6", "issued" : { "date-parts" : [ [ "2003", "6" ] ] }, "page" : "1011-53", "title" : "2003 European Society of Hypertension-European Society of Cardiology guidelines for the management of arterial hypertension.", "type" : "article-journal", "volume" : "21" }, "uris" : [ "http://www.mendeley.com/documents/?uuid=08f89208-55ec-470c-a18b-d7243a052bfd" ] }, { "id" : "ITEM-2", "itemData" : { "author" : [ { "dropping-particle" : "", "family" : "Chobanian", "given" : "AV", "non-dropping-particle" : "", "parse-names" : false, "suffix" : "" }, { "dropping-particle" : "", "family" : "Bakris", "given" : "GL", "non-dropping-particle" : "", "parse-names" : false, "suffix" : "" }, { "dropping-particle" : "", "family" : "Black", "given" : "HR", "non-dropping-particle" : "", "parse-names" : false, "suffix" : "" } ], "container-title" : "Jama", "id" : "ITEM-2", "issue" : "19", "issued" : { "date-parts" : [ [ "2003" ] ] }, "page" : "2560-2573", "title" : "The seventh report of the joint national committee on prevention, detection, evaluation, and treatment of high blood pressure: the JNC 7 report", "type" : "article-journal", "volume" : "289" }, "uris" : [ "http://www.mendeley.com/documents/?uuid=147ee403-388b-4bd0-a008-e5ba61f37248" ] }, { "id" : "ITEM-3", "itemData" : { "author" : [ { "dropping-particle" : "", "family" : "\u0427\u0430\u0437\u043e\u0432\u0430", "given" : "\u0418.\u0415.", "non-dropping-particle" : "", "parse-names" : false, "suffix" : "" }, { "dropping-particle" : "", "family" : "\u0420\u0430\u0442\u043e\u0432\u0430", "given" : "\u041b.\u0413.", "non-dropping-particle" : "", "parse-names" : false, "suffix" : "" }, { "dropping-particle" : "", "family" : "\u0411\u043e\u0439\u0446\u043e\u0432", "given" : "\u0421.\u0410.", "non-dropping-particle" : "", "parse-names" : false, "suffix" : "" }, { "dropping-particle" : "", "family" : "\u041d\u0435\u0431\u0438\u0435\u0440\u0438\u0434\u0437\u0435", "given" : "\u0414.\u0412.", "non-dropping-particle" : "", "parse-names" : false, "suffix" : "" } ], "container-title" : "\u0421\u0438\u0441\u0442\u0435\u043c\u043d\u044b\u0435 \u0433\u0438\u043f\u0435\u0440\u0442\u0435\u043d\u0437\u0438\u0438", "id" : "ITEM-3", "issued" : { "date-parts" : [ [ "2010" ] ] }, "page" : "5-26", "title" : "\u0414\u0438\u0430\u0433\u043d\u043e\u0441\u0442\u0438\u043a\u0430 \u0438 \u043b\u0435\u0447\u0435\u043d\u0438\u0435 \u0430\u0440\u0442\u0435\u0440\u0438\u0430\u043b\u044c\u043d\u043e\u0439 \u0433\u0438\u043f\u0435\u0440\u0442\u0435\u043d\u0437\u0438\u0438. (\u0420\u0435\u043a\u043e\u043c\u0435\u043d\u0434\u0430\u0446\u0438\u0438 \u0420\u043e\u0441\u0441\u0438\u0439\u0441\u043a\u043e\u0433\u043e \u043c\u0435\u0434\u0438\u0446\u0438\u043d\u0441\u043a\u043e\u0433\u043e \u043e\u0431\u0449\u0435\u0441\u0442\u0432\u0430 \u043f\u043e \u0430\u0440\u0442\u0435\u0440\u043</w:instrText>
      </w:r>
      <w:r w:rsidR="00EA3B99" w:rsidRPr="0044196C">
        <w:rPr>
          <w:color w:val="000000" w:themeColor="text1"/>
          <w:lang w:val="en-US"/>
        </w:rPr>
        <w:instrText>8\u0430\u043b\u044c\u043d\u043e\u0439 \u0433\u0438\u043f\u0435\u0440\u0442\u043e\u043d\u0438\u0438 \u0438 \u0412\u0441\u0435\u0440\u043e\u0441\u0441\u0438\u0439\u0441\u043a\u043e\u0433\u043e \u043d\u0430\u0443\u0447\u043d\u043e\u0433\u043e \u043e\u0431\u0449\u0435\u0441\u0442\u0432\u0430 \u043a\u0430\u0440\u0434\u0438\u043e\u043b\u043e\u0433\u043e\u0432)", "type" : "article-journal", "volume" : "3" }, "uris" : [ "http://www.mendeley.com/documents/?uuid=1b81a91b-9b6a-4993-914a-4c0036ce5323" ] }, { "id" : "ITEM-4", "itemData" : { "author" : [ { "dropping-particle" : "", "family" : "National Kidney Foundation", "given" : "", "non-dropping-particle" : "", "parse-names" : false, "suffix" : "" } ], "container-title" : "Am J Kidney Dis", "id" : "ITEM-4", "issue" : "S1-S290", "issued" : { "date-parts" : [ [ "2004" ] ] }, "title" : "K/DOQI clinical practice guidelines on hypertension and antihypertensive agents in chronic kidney disease.", "type" : "article-journal", "volume" : "43" }, "uris" : [ "http://www.mendeley.com/documents/?uuid=25328728-7668-4a4f-82a7-76dc567a7bb5" ] } ], "mendeley" : { "previouslyFormattedCitation" : "[\u0427\u0430\u0437\u043e\u0432\u0430 \u0438 \u0434\u0440., 2010; Chobanian, Bakris, Black, 2003; European Society of Hypertension\u2013European Society of Cardiology Guidelines Committee, 2003; National Kidney Foundation, 2004]"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lang w:val="en-US"/>
        </w:rPr>
        <w:t>[</w:t>
      </w:r>
      <w:r w:rsidR="00EA3B99" w:rsidRPr="0044196C">
        <w:rPr>
          <w:noProof/>
          <w:color w:val="000000" w:themeColor="text1"/>
        </w:rPr>
        <w:t>Чазова</w:t>
      </w:r>
      <w:r w:rsidR="00EA3B99" w:rsidRPr="0044196C">
        <w:rPr>
          <w:noProof/>
          <w:color w:val="000000" w:themeColor="text1"/>
          <w:lang w:val="en-US"/>
        </w:rPr>
        <w:t xml:space="preserve"> </w:t>
      </w:r>
      <w:r w:rsidR="00EA3B99" w:rsidRPr="0044196C">
        <w:rPr>
          <w:noProof/>
          <w:color w:val="000000" w:themeColor="text1"/>
        </w:rPr>
        <w:t>и</w:t>
      </w:r>
      <w:r w:rsidR="00EA3B99" w:rsidRPr="0044196C">
        <w:rPr>
          <w:noProof/>
          <w:color w:val="000000" w:themeColor="text1"/>
          <w:lang w:val="en-US"/>
        </w:rPr>
        <w:t xml:space="preserve"> </w:t>
      </w:r>
      <w:r w:rsidR="00EA3B99" w:rsidRPr="0044196C">
        <w:rPr>
          <w:noProof/>
          <w:color w:val="000000" w:themeColor="text1"/>
        </w:rPr>
        <w:t>др</w:t>
      </w:r>
      <w:r w:rsidR="00EA3B99" w:rsidRPr="0044196C">
        <w:rPr>
          <w:noProof/>
          <w:color w:val="000000" w:themeColor="text1"/>
          <w:lang w:val="en-US"/>
        </w:rPr>
        <w:t>., 2010; Chobanian, Bakris, Black, 2003; European Society of Hypertension–European Society of Cardiology Guidelines Committee, 2003; National Kidney Foundation, 2004]</w:t>
      </w:r>
      <w:r w:rsidR="009D7C63" w:rsidRPr="0044196C">
        <w:rPr>
          <w:color w:val="000000" w:themeColor="text1"/>
        </w:rPr>
        <w:fldChar w:fldCharType="end"/>
      </w:r>
      <w:r w:rsidRPr="0044196C">
        <w:rPr>
          <w:color w:val="000000" w:themeColor="text1"/>
          <w:lang w:val="en-US"/>
        </w:rPr>
        <w:t xml:space="preserve">. </w:t>
      </w:r>
      <w:r w:rsidRPr="0044196C">
        <w:rPr>
          <w:color w:val="000000" w:themeColor="text1"/>
        </w:rPr>
        <w:t xml:space="preserve">Однако положение о необходимости более строгого (&lt;130/80 мм рт.ст.) контроля АД при ХБП до настоящего времени остается недоказанным. Оценка отдаленных исходов вне рамок основного исследования </w:t>
      </w:r>
      <w:r w:rsidRPr="0044196C">
        <w:rPr>
          <w:color w:val="000000" w:themeColor="text1"/>
          <w:lang w:val="en-US"/>
        </w:rPr>
        <w:t>MDRD</w:t>
      </w:r>
      <w:r w:rsidRPr="0044196C">
        <w:rPr>
          <w:color w:val="000000" w:themeColor="text1"/>
        </w:rPr>
        <w:t>, а также других исследований по контролю АД при ХБП не показала достоверных различий по риску неблагоприятного почечного исхода у больных с более строгим контролем АД</w:t>
      </w:r>
      <w:r w:rsidR="00B971C6" w:rsidRPr="0044196C">
        <w:rPr>
          <w:color w:val="000000" w:themeColor="text1"/>
        </w:rPr>
        <w:t xml:space="preserve">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"10.1056/NEJMoa0910975", "ISSN" : "1533-4406", "PMID" : "20818902", "abstract" : "BACKGROUND: In observational studies, the relationship between blood pressure and end-stage renal disease (ESRD) is direct and progressive. The burden of hypertension-related chronic kidney disease and ESRD is especially high among black patients. Yet few trials have tested whether intensive blood-pressure control retards the progression of chronic kidney disease among black patients.\n\nMETHODS: We randomly assigned 1094 black patients with hypertensive chronic kidney disease to receive either intensive or standard blood-pressure control. After completing the trial phase, patients were invited to enroll in a cohort phase in which the blood-pressure target was less than 130/80 mm Hg. The primary clinical outcome in the cohort phase was the progression of chronic kidney disease, which was defined as a doubling of the serum creatinine level, a diagnosis of ESRD, or death. Follow-up ranged from 8.8 to 12.2 years.\n\nRESULTS: During the trial phase, the mean blood pressure was 130/78 mm Hg in the intensive-control group and 141/86 mm Hg in the standard-control group. During the cohort phase, corresponding mean blood pressures were 131/78 mm Hg and 134/78 mm Hg. In both phases, there was no significant between-group difference in the risk of the primary outcome (hazard ratio in the intensive-control group, 0.91; P=0.27). However, the effects differed according to the baseline level of proteinuria (P=0.02 for interaction), with a potential benefit in patients with a protein-to-creatinine ratio of more than 0.22 (hazard ratio, 0.73; P=0.01).\n\nCONCLUSIONS: In overall analyses, intensive blood-pressure control had no effect on kidney disease progression. However, there may be differential effects of intensive blood-pressure control in patients with and those without baseline proteinuria. (Funded by the National Institute of Diabetes and Digestive and Kidney Diseases, the National Center on Minority Health and Health Disparities, and others.)", "author" : [ { "dropping-particle" : "", "family" : "Appel", "given" : "Lawrence J", "non-dropping-particle" : "", "parse-names" : false, "suffix" : "" }, { "dropping-particle" : "", "family" : "Wright", "given" : "Jackson T", "non-dropping-particle" : "", "parse-names" : false, "suffix" : "" }, { "dropping-particle" : "", "family" : "Greene", "given" : "Tom", "non-dropping-particle" : "", "parse-names" : false, "suffix" : "" }, { "dropping-particle" : "", "family" : "Agodoa", "given" : "Lawrence Y", "non-dropping-particle" : "", "parse-names" : false, "suffix" : "" }, { "dropping-particle" : "", "family" : "Astor", "given" : "Brad C", "non-dropping-particle" : "", "parse-names" : false, "suffix" : "" }, { "dropping-particle" : "", "family" : "Bakris", "given" : "George L", "non-dropping-particle" : "", "parse-names" : false, "suffix" : "" }, { "dropping-particle" : "", "family" : "Cleveland", "given" : "William H", "non-dropping-particle" : "", "parse-names" : false, "suffix" : "" }, { "dropping-particle" : "", "family" : "Charleston", "given" : "Jeanne", "non-dropping-particle" : "", "parse-names" : false, "suffix" : "" }, { "dropping-particle" : "", "family" : "Contreras", "given" : "Gabriel", "non-dropping-particle" : "", "parse-names" : false, "suffix" : "" }, { "dropping-particle" : "", "family" : "Faulkner", "given" : "Marquetta L", "non-dropping-particle" : "", "parse-names" : false, "suffix" : "" }, { "dropping-particle" : "", "family" : "Gabbai", "given" : "Francis B", "non-dropping-particle" : "", "parse-names" : false, "suffix" : "" }, { "dropping-particle" : "", "family" : "Gassman", "given" : "Jennifer J", "non-dropping-particle" : "", "parse-names" : false, "suffix" : "" }, { "dropping-particle" : "", "family" : "Hebert", "given" : "Lee A", "non-dropping-particle" : "", "parse-names" : false, "suffix" : "" }, { "dropping-particle" : "", "family" : "Jamerson", "given" : "Kenneth A", "non-dropping-particle" : "", "parse-names" : false, "suffix" : "" }, { "dropping-particle" : "", "family" : "Kopple", "given" : "Joel D", "non-dropping-particle" : "", "parse-names" : false, "suffix" : "" }, { "dropping-particle" : "", "family" : "Kusek", "given" : "John W", "non-dropping-particle" : "", "parse-names" : false, "suffix" : "" }, { "dropping-particle" : "", "family" : "Lash", "given" : "James P", "non-dropping-particle" : "", "parse-names" : false, "suffix" : "" }, { "dropping-particle" : "", "family" : "Lea", "given" : "Janice P", "non-dropping-particle" : "", "parse-names" : false, "suffix" : "" }, { "dropping-particle" : "", "family" : "Lewis", "given" : "Julia B", "non-dropping-particle" : "", "parse-names" : false, "suffix" : "" }, { "dropping-particle" : "", "family" : "Lipkowitz", "given" : "Michael S", "non-dropping-particle" : "", "parse-names" : false, "suffix" : "" }, { "dropping-particle" : "", "family" : "Massry", "given" : "Shaul G", "non-dropping-particle" : "", "parse-names" : false, "suffix" : "" }, { "dropping-particle" : "", "family" : "Miller", "given" : "Edgar R", "non-dropping-particle" : "", "parse-names" : false, "suffix" : "" }, { "dropping-particle" : "", "family" : "Norris", "given" : "Keith", "non-dropping-particle" : "", "parse-names" : false, "suffix" : "" }, { "dropping-particle" : "", "family" : "Phillips", "given" : "Robert A", "non-dropping-particle" : "", "parse-names" : false, "suffix" : "" }, { "dropping-particle" : "", "family" : "Pogue", "given" : "Velvie A", "non-dropping-particle" : "", "parse-names" : false, "suffix" : "" }, { "dropping-particle" : "", "family" : "Randall", "given" : "Otelio S", "non-dropping-particle" : "", "parse-names" : false, "suffix" : "" }, { "dropping-particle" : "", "family" : "Rostand", "given" : "Stephen G", "non-dropping-particle" : "", "parse-names" : false, "suffix" : "" }, { "dropping-particle" : "", "family" : "Smogorzewski", "given" : "Miroslaw J", "non-dropping-particle" : "", "parse-names" : false, "suffix" : "" }, { "dropping-particle" : "", "family" : "Toto", "given" : "Robert D", "non-dropping-particle" : "", "parse-names" : false, "suffix" : "" }, { "dropping-particle" : "", "family" : "Wang", "given" : "Xuelei", "non-dropping-particle" : "", "parse-names" : false, "suffix" : "" } ], "container-title" : "The New England journal of medicine", "id" : "ITEM-1", "issue" : "10", "issued" : { "date-parts" : [ [ "2010", "9", "2" ] ] }, "page" : "918-29", "title" : "Intensive blood-pressure control in hypertensive chronic kidney disease.", "type" : "article-journal", "volume" : "363" }, "uris" : [ "http://www.mendeley.com/documents/?uuid=0ae681bd-f33c-41e6-9fa4-9dbf6aecf369" ] }, { "id" : "ITEM-2", "itemData" : { "ISSN" : "1539-3704", "PMID" : "15738453", "abstract" : "BACKGROUND: Hypertension is a risk factor for progression of chronic kidney disease. The optimal blood pressure to slow progression is unknown.\n\nOBJECTIVE: To evaluate the effects of a low target blood pressure on kidney failure and all-cause mortality.\n\nDESIGN: Long-term follow-up of the Modification of Diet in Renal Disease Study, a randomized, controlled trial conducted from 1989 to 1993.\n\nSETTING: 15 outpatient nephrology practices.\n\nPARTICIPANTS: 840 persons with predominantly nondiabetic kidney disease and a glomerular filtration rate of 13 to 55 mL/min per 1.73 m2.\n\nINTERVENTION: A low target blood pressure (mean arterial pressure &lt; 92 mm Hg) or a usual target blood pressure (mean arterial pressure &lt; 107 mm Hg).\n\nMEASUREMENTS: After the randomized trial was completed, kidney failure (defined as initiation of dialysis or kidney transplantation) and a composite outcome of kidney failure or all-cause mortality were ascertained through 31 December 2000.\n\nRESULTS: Kidney failure occurred in 554 participants (66%), and the composite outcome occurred in 624 participants (74%). After Cox proportional hazards modeling and intention-to-treat analysis, the adjusted hazard ratios were 0.68 (95% CI, 0.57 to 0.82; P &lt; 0.001) for kidney failure and 0.77 (CI, 0.65 to 0.91; P = 0.0024) for the composite outcome in the low target blood pressure group compared with the usual target blood pressure group. Evidence was insufficient to conclude that the benefit of a low target blood pressure differed according to the cause of kidney disease, baseline glomerular filtration rate, or degree of proteinuria.\n\nLIMITATIONS: The exact mechanism underlying the benefit of a low target blood pressure is unknown.\n\nCONCLUSIONS: Assignment to a low target blood pressure slowed the progression of nondiabetic kidney disease in patients with a moderately to severely decreased glomerular filtration rate.", "author" : [ { "dropping-particle" : "", "family" : "Sarnak", "given" : "Mark J", "non-dropping-particle" : "", "parse-names" : false, "suffix" : "" }, { "dropping-particle" : "", "family" : "Greene", "given" : "Tom", "non-dropping-particle" : "", "parse-names" : false, "suffix" : "" }, { "dropping-particle" : "", "family" : "Wang", "given" : "Xuelei", "non-dropping-particle" : "", "parse-names" : false, "suffix" : "" }, { "dropping-particle" : "", "family" : "Beck", "given" : "Gerald", "non-dropping-particle" : "", "parse-names" : false, "suffix" : "" }, { "dropping-particle" : "", "family" : "Kusek", "given" : "John W", "non-dropping-particle" : "", "parse-names" : false, "suffix" : "" }, { "dropping-particle" : "", "family" : "Collins", "given" : "Allan J", "non-dropping-particle" : "", "parse-names" : false, "suffix" : "" }, { "dropping-particle" : "", "family" : "Levey", "given" : "Andrew S", "non-dropping-particle" : "", "parse-names" : false, "suffix" : "" } ], "container-title" : "Annals of internal medicine", "id" : "ITEM-2", "issue" : "5", "issued" : { "date-parts" : [ [ "2005", "3", "1" ] ] }, "page" : "342-51", "title" : "The effect of a lower target blood pressure on the progression of kidney disease: long-term follow-up of the modification of diet in renal disease study.", "type" : "article-journal", "volume" : "142" }, "uris" : [ "http://www.mendeley.com/documents/?uuid=0223b41b-850d-44cc-8de2-a6f6fc063652" ] }, { "id" : "ITEM-3", "itemData" : { "DOI" : "10.1016/S0140-6736(05)71082-5", "ISSN" : "1474-547X", "PMID" : "15766995", "abstract" : "BACKGROUND: In chronic nephropathies, inhibition of angiotensin-converting enzyme (ACE) is renoprotective, but can further renoprotection be achieved by reduction of blood pressure to lower than usual targets? We aimed to assess the effect of intensified versus conventional blood-pressure control on progression to end-stage renal disease.\n\nMETHODS: We undertook a multicentre, randomised controlled trial of patients with non-diabetic proteinuric nephropathies receiving background treatment with the ACE inhibitor ramipril (2.5-5 mg/day). We randomly assigned participants either conventional (diastolic &lt;90 mm Hg; n=169) or intensified (systolic/diastolic &lt;130/80 mm Hg; n=169) blood-pressure control. To achieve the intensified blood-pressure level, patients received add-on therapy with the dihydropyridine calcium-channel blocker felodipine (5-10 mg/day). The primary outcome measure was time to end-stage renal disease over 36 months' follow-up, and analysis was by intention to treat.\n\nFINDINGS: Of 338 patients who were randomised, three (two assigned intensified and one allocated conventional blood-pressure control) never took study drugs and they were excluded. Over a median follow-up of 19 months (IQR 12-35), 38/167 (23%) patients assigned to intensified blood-pressure control and 34/168 (20%) allocated conventional control progressed to end-stage renal disease (hazard ratio 1.00 [95% CI 0.61-1.64]; p=0.99).\n\nINTERPRETATION: In patients with non-diabetic proteinuric nephropathies receiving background ACE-inhibitor therapy, no additional benefit from further blood-pressure reduction by felodipine could be shown.", "author" : [ { "dropping-particle" : "", "family" : "Ruggenenti", "given" : "Piero", "non-dropping-particle" : "", "parse-names" : false, "suffix" : "" }, { "dropping-particle" : "", "family" : "Perna", "given" : "Annalisa", "non-dropping-particle" : "", "parse-names" : false, "suffix" : "" }, { "dropping-particle" : "", "family" : "Loriga", "given" : "Giacomina", "non-dropping-particle" : "", "parse-names" : false, "suffix" : "" }, { "dropping-particle" : "", "family" : "Ganeva", "given" : "Maria", "non-dropping-particle" : "", "parse-names" : false, "suffix" : "" }, { "dropping-particle" : "", "family" : "Ene-Iordache", "given" : "Bogdan", "non-dropping-particle" : "", "parse-names" : false, "suffix" : "" }, { "dropping-particle" : "", "family" : "Turturro", "given" : "Marta", "non-dropping-particle" : "", "parse-names" : false, "suffix" : "" }, { "dropping-particle" : "", "family" : "Lesti", "given" : "Maria", "non-dropping-particle" : "", "parse-names" : false, "suffix" : "" }, { "dropping-particle" : "", "family" : "Perticucci", "given" : "Elena", "non-dropping-particle" : "", "parse-names" : false, "suffix" : "" }, { "dropping-particle" : "", "family" : "Chakarski", "given" : "Ivan Nediyalkov", "non-dropping-particle" : "", "parse-names" : false, "suffix" : "" }, { "dropping-particle" : "", "family" : "Leonardis", "given" : "Daniela", "non-dropping-particle" : "", "parse-names" : false, "suffix" : "" }, { "dropping-particle" : "", "family" : "Garini", "given" : "Giovanni", "non-dropping-particle" : "", "parse-names" : false, "suffix" : "" }, { "dropping-particle" : "", "family" : "Sessa", "given" : "Adalberto", "non-dropping-particle" : "", "parse-names" : false, "suffix" : "" }, { "dropping-particle" : "", "family" : "Basile", "given" : "Carlo", "non-dropping-particle" : "", "parse-names" : false, "suffix" : "" }, { "dropping-particle" : "", "family" : "Alpa", "given" : "Mirella", "non-dropping-particle" : "", "parse-names" : false, "suffix" : "" }, { "dropping-particle" : "", "family" : "Scanziani", "given" : "Renzo", "non-dropping-particle" : "", "parse-names" : false, "suffix" : "" }, { "dropping-particle" : "", "family" : "Sorba", "given" : "Gianbattista", "non-dropping-particle" : "", "parse-names" : false, "suffix" : "" }, { "dropping-particle" : "", "family" : "Zoccali", "given" : "Carmine", "non-dropping-particle" : "", "parse-names" : false, "suffix" : "" }, { "dropping-particle" : "", "family" : "Remuzzi", "given" : "Giuseppe", "non-dropping-particle" : "", "parse-names" : false, "suffix" : "" } ], "container-title" : "Lancet", "id" : "ITEM-3", "issue" : "9463", "issued" : { "date-parts" : [ [ "2005", "1", "12" ] ] }, "page" : "939-46", "title" : "Blood-pressure control for renoprotection in patients with non-diabetic chronic renal disease (REIN-2): multicentre, randomised controlled trial.", "type" : "article-journal", "volume" : "365" }, "uris" : [ "http://www.mendeley.com/documents/?uuid=693b37f5-3e99-4641-9cd0-8effe4b9ec2b" ] } ], "mendeley" : { "previouslyFormattedCitation" : "[Appel \u0438 \u0434\u0440., 2010; Ruggenenti \u0438 \u0434\u0440., 2005; Sarnak \u0438 \u0434\u0440., 2005]"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[Appel и др., 2010; Ruggenenti и др., 2005; Sarnak и др., 2005]</w:t>
      </w:r>
      <w:r w:rsidR="009D7C63" w:rsidRPr="0044196C">
        <w:rPr>
          <w:color w:val="000000" w:themeColor="text1"/>
        </w:rPr>
        <w:fldChar w:fldCharType="end"/>
      </w:r>
      <w:r w:rsidRPr="0044196C">
        <w:rPr>
          <w:color w:val="000000" w:themeColor="text1"/>
        </w:rPr>
        <w:t xml:space="preserve">. По данным метаанализа, включающего 37 348 больных, более интенсивный контроль АД оказывал дополнительное вазопротективное действие, однако не уменьшал смертность пациентов с ХБП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"10.1371/journal.pmed.1001293", "ISSN" : "1549-1676", "PMID" : "22927798", "abstract" : "BACKGROUND: Guidelines recommend intensive blood pressure (BP) lowering in patients at high risk. While placebo-controlled trials have demonstrated 22% reductions in coronary heart disease (CHD) and stroke associated with a 10-mmHg difference in systolic BP, it is unclear if more intensive BP lowering strategies are associated with greater reductions in risk of CHD and stroke. We did a systematic review to assess the effects of intensive BP lowering on vascular, eye, and renal outcomes.\n\nMETHODS AND FINDINGS: We systematically searched Medline, Embase, and the Cochrane Library for trials published between 1950 and July 2011. We included trials that randomly assigned individuals to different target BP levels. We identified 15 trials including a total of 37,348 participants. On average there was a 7.5/4.5-mmHg BP difference. Intensive BP lowering achieved relative risk (RR) reductions of 11% for major cardiovascular events (95% CI 1%-21%), 13% for myocardial infarction (0%-25%), 24% for stroke (8%-37%), and 11% for end stage kidney disease (3%-18%). Intensive BP lowering regimens also produced a 10% reduction in the risk of albuminuria (4%-16%), and a trend towards benefit for retinopathy (19%, 0%-34%, p = 0.051) in patients with diabetes. There was no clear effect on cardiovascular or noncardiovascular death. Intensive BP lowering was well tolerated; with serious adverse events uncommon and not significantly increased, except for hypotension (RR 4.16, 95% CI 2.25 to 7.70), which occurred infrequently (0.4% per 100 person-years).\n\nCONCLUSIONS: Intensive BP lowering regimens provided greater vascular protection than standard regimens that was proportional to the achieved difference in systolic BP, but did not have any clear impact on the risk of death or serious adverse events. Further trials are required to more clearly define the risks and benefits of BP targets below those currently recommended, given the benefits suggested by the currently available data.", "author" : [ { "dropping-particle" : "", "family" : "Lv", "given" : "Jicheng", "non-dropping-particle" : "", "parse-names" : false, "suffix" : "" }, { "dropping-particle" : "", "family" : "Neal", "given" : "Bruce", "non-dropping-particle" : "", "parse-names" : false, "suffix" : "" }, { "dropping-particle" : "", "family" : "Ehteshami", "given" : "Parya", "non-dropping-particle" : "", "parse-names" : false, "suffix" : "" }, { "dropping-particle" : "", "family" : "Ninomiya", "given" : "Toshiharu", "non-dropping-particle" : "", "parse-names" : false, "suffix" : "" }, { "dropping-particle" : "", "family" : "Woodward", "given" : "Mark", "non-dropping-particle" : "", "parse-names" : false, "suffix" : "" }, { "dropping-particle" : "", "family" : "Rodgers", "given" : "Anthony", "non-dropping-particle" : "", "parse-names" : false, "suffix" : "" }, { "dropping-particle" : "", "family" : "Wang", "given" : "Haiyan", "non-dropping-particle" : "", "parse-names" : false, "suffix" : "" }, { "dropping-particle" : "", "family" : "MacMahon", "given" : "Stephen", "non-dropping-particle" : "", "parse-names" : false, "suffix" : "" }, { "dropping-particle" : "", "family" : "Turnbull", "given" : "Fiona", "non-dropping-particle" : "", "parse-names" : false, "suffix" : "" }, { "dropping-particle" : "", "family" : "Hillis", "given" : "Graham", "non-dropping-particle" : "", "parse-names" : false, "suffix" : "" }, { "dropping-particle" : "", "family" : "Chalmers", "given" : "John", "non-dropping-particle" : "", "parse-names" : false, "suffix" : "" }, { "dropping-particle" : "", "family" : "Perkovic", "given" : "Vlado", "non-dropping-particle" : "", "parse-names" : false, "suffix" : "" } ], "container-title" : "PLoS medicine", "id" : "ITEM-1", "issue" : "8", "issued" : { "date-parts" : [ [ "2012", "1" ] ] }, "page" : "e1001293", "title" : "Effects of intensive blood pressure lowering on cardiovascular and renal outcomes: a systematic review and meta-analysis.", "type" : "article-journal", "volume" : "9" }, "uris" : [ "http://www.mendeley.com/documents/?uuid=4e903de5-c358-474a-8172-05386768760d" ] } ], "mendeley" : { "previouslyFormattedCitation" : "[Lv \u0438 \u0434\u0440., 2012]"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[Lv и др., 2012]</w:t>
      </w:r>
      <w:r w:rsidR="009D7C63" w:rsidRPr="0044196C">
        <w:rPr>
          <w:color w:val="000000" w:themeColor="text1"/>
        </w:rPr>
        <w:fldChar w:fldCharType="end"/>
      </w:r>
      <w:r w:rsidRPr="0044196C">
        <w:rPr>
          <w:color w:val="000000" w:themeColor="text1"/>
        </w:rPr>
        <w:t xml:space="preserve">. </w:t>
      </w:r>
      <w:r w:rsidR="00FF6527" w:rsidRPr="0044196C">
        <w:rPr>
          <w:color w:val="000000" w:themeColor="text1"/>
        </w:rPr>
        <w:t>Исследование ACCORD</w:t>
      </w:r>
      <w:r w:rsidR="004759A3" w:rsidRPr="0044196C">
        <w:rPr>
          <w:color w:val="000000" w:themeColor="text1"/>
        </w:rPr>
        <w:t>, где сравнивалась эффективность более строгого (</w:t>
      </w:r>
      <w:r w:rsidR="004759A3" w:rsidRPr="0044196C">
        <w:rPr>
          <w:color w:val="000000" w:themeColor="text1"/>
        </w:rPr>
        <w:sym w:font="Symbol" w:char="F03C"/>
      </w:r>
      <w:r w:rsidR="004759A3" w:rsidRPr="0044196C">
        <w:rPr>
          <w:color w:val="000000" w:themeColor="text1"/>
        </w:rPr>
        <w:t xml:space="preserve">130 мм рт.ст.)контроля САД по сравнению с 130-140 мм рт.ст. у больных сахарным диабетом, также не показало преимуществ более агрессивной тактики. </w:t>
      </w:r>
      <w:r w:rsidRPr="0044196C">
        <w:rPr>
          <w:color w:val="000000" w:themeColor="text1"/>
        </w:rPr>
        <w:t xml:space="preserve">Современные американские рекомендации по контролю АД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"10.1001/jama.2013.284427", "ISSN" : "1538-3598", "PMID" : "24352797", "abstract" : "Hypertension is the most common condition seen in primary care and leads to myocardial infarction, stroke, renal failure, and death if not detected early and treated appropriately. Patients want to be assured that blood pressure (BP) treatment will reduce their disease burden, while clinicians want guidance on hypertension management using the best scientific evidence. This report takes a rigorous, evidence-based approach to recommend treatment thresholds, goals, and medications in the management of hypertension in adults. Evidence was drawn from randomized controlled trials, which represent the gold standard for determining efficacy and effectiveness. Evidence quality and recommendations were graded based on their effect on important outcomes. There is strong evidence to support treating hypertensive persons aged 60 years or older to a BP goal of less than 150/90 mm Hg and hypertensive persons 30 through 59 years of age to a diastolic goal of less than 90 mm Hg; however, there is insufficient evidence in hypertensive persons younger than 60 years for a systolic goal, or in those younger than 30 years for a diastolic goal, so the panel recommends a BP of less than 140/90 mm Hg for those groups based on expert opinion. The same thresholds and goals are recommended for hypertensive adults with diabetes or nondiabetic chronic kidney disease (CKD) as for the general hypertensive population younger than 60 years. There is moderate evidence to support initiating drug treatment with an angiotensin-converting enzyme inhibitor, angiotensin receptor blocker, calcium channel blocker, or thiazide-type diuretic in the nonblack hypertensive population, including those with diabetes. In the black hypertensive population, including those with diabetes, a calcium channel blocker or thiazide-type diuretic is recommended as initial therapy. There is moderate evidence to support initial or add-on antihypertensive therapy with an angiotensin-converting enzyme inhibitor or angiotensin receptor blocker in persons with CKD to improve kidney outcomes. Although this guideline provides evidence-based recommendations for the management of high BP and should meet the clinical needs of most patients, these recommendations are not a substitute for clinical judgment, and decisions about care must carefully consider and incorporate the clinical characteristics and circumstances of each individual patient.", "author" : [ { "dropping-particle" : "", "family" : "James", "given" : "Paul a", "non-dropping-particle" : "", "parse-names" : false, "suffix" : "" }, { "dropping-particle" : "", "family" : "Oparil", "given" : "Suzanne", "non-dropping-particle" : "", "parse-names" : false, "suffix" : "" }, { "dropping-particle" : "", "family" : "Carter", "given" : "Barry L", "non-dropping-particle" : "", "parse-names" : false, "suffix" : "" }, { "dropping-particle" : "", "family" : "Cushman", "given" : "William C", "non-dropping-particle" : "", "parse-names" : false, "suffix" : "" }, { "dropping-particle" : "", "family" : "Dennison-Himmelfarb", "given" : "Cheryl", "non-dropping-particle" : "", "parse-names" : false, "suffix" : "" }, { "dropping-particle" : "", "family" : "Handler", "given" : "Joel", "non-dropping-particle" : "", "parse-names" : false, "suffix" : "" }, { "dropping-particle" : "", "family" : "Lackland", "given" : "Daniel T", "non-dropping-particle" : "", "parse-names" : false, "suffix" : "" }, { "dropping-particle" : "", "family" : "Lefevre", "given" : "Michael L", "non-dropping-particle" : "", "parse-names" : false, "suffix" : "" }, { "dropping-particle" : "", "family" : "Mackenzie", "given" : "Thomas D", "non-dropping-particle" : "", "parse-names" : false, "suffix" : "" }, { "dropping-particle" : "", "family" : "Ogedegbe", "given" : "Olugbenga", "non-dropping-particle" : "", "parse-names" : false, "suffix" : "" }, { "dropping-particle" : "", "family" : "Smith", "given" : "Sidney C", "non-dropping-particle" : "", "parse-names" : false, "suffix" : "" }, { "dropping-particle" : "", "family" : "Svetkey", "given" : "Laura P", "non-dropping-particle" : "", "parse-names" : false, "suffix" : "" }, { "dropping-particle" : "", "family" : "Taler", "given" : "Sandra J", "non-dropping-particle" : "", "parse-names" : false, "suffix" : "" }, { "dropping-particle" : "", "family" : "Townsend", "given" : "Raymond R", "non-dropping-particle" : "", "parse-names" : false, "suffix" : "" }, { "dropping-particle" : "", "family" : "Wright", "given" : "Jackson T", "non-dropping-particle" : "", "parse-names" : false, "suffix" : "" }, { "dropping-particle" : "", "family" : "Narva", "given" : "Andrew S", "non-dropping-particle" : "", "parse-names" : false, "suffix" : "" }, { "dropping-particle" : "", "family" : "Ortiz", "given" : "Eduardo", "non-dropping-particle" : "", "parse-names" : false, "suffix" : "" } ], "container-title" : "JAMA : the journal of the American Medical Association", "id" : "ITEM-1", "issued" : { "date-parts" : [ [ "2013", "12", "18" ] ] }, "page" : "1-14", "title" : "2014 Evidence-Based Guideline for the Management of High Blood Pressure in Adults: Report From the Panel Members Appointed to the Eighth Joint National Committee (JNC 8).", "type" : "article-journal", "volume" : "1097" }, "uris" : [ "http://www.mendeley.com/documents/?uuid=169db8d1-45d3-41e8-aad4-1a153f5bcb03" ] }, { "id" : "ITEM-2", "itemData" : { "DOI" : "10.1111/jch.12237", "ISSN" : "1751-7176", "PMID" : "24341872", "author" : [ { "dropping-particle" : "", "family" : "Weber", "given" : "Michael a", "non-dropping-particle" : "", "parse-names" : false, "suffix" : "" }, { "dropping-particle" : "", "family" : "Schiffrin", "given" : "Ernesto L", "non-dropping-particle" : "", "parse-names" : false, "suffix" : "" }, { "dropping-particle" : "", "family" : "White", "given" : "William B", "non-dropping-particle" : "", "parse-names" : false, "suffix" : "" }, { "dropping-particle" : "", "family" : "Mann", "given" : "Samuel", "non-dropping-particle" : "", "parse-names" : false, "suffix" : "" }, { "dropping-particle" : "", "family" : "Lindholm", "given" : "Lars H", "non-dropping-particle" : "", "parse-names" : false, "suffix" : "" }, { "dropping-particle" : "", "family" : "Kenerson", "given" : "John G", "non-dropping-particle" : "", "parse-names" : false, "suffix" : "" }, { "dropping-particle" : "", "family" : "Flack", "given" : "John M", "non-dropping-particle" : "", "parse-names" : false, "suffix" : "" }, { "dropping-particle" : "", "family" : "Carter", "given" : "Barry L", "non-dropping-particle" : "", "parse-names" : false, "suffix" : "" }, { "dropping-particle" : "", "family" : "Materson", "given" : "Barry J", "non-dropping-particle" : "", "parse-names" : false, "suffix" : "" }, { "dropping-particle" : "", "family" : "Ram", "given" : "C Venkata S", "non-dropping-particle" : "", "parse-names" : false, "suffix" : "" }, { "dropping-particle" : "", "family" : "Cohen", "given" : "Debbie L", "non-dropping-particle" : "", "parse-names" : false, "suffix" : "" }, { "dropping-particle" : "", "family" : "Cadet", "given" : "Jean-Claude", "non-dropping-particle" : "", "parse-names" : false, "suffix" : "" }, { "dropping-particle" : "", "family" : "Jean-Charles", "given" : "Roger R", "non-dropping-particle" : "", "parse-names" : false, "suffix" : "" }, { "dropping-particle" : "", "family" : "Taler", "given" : "Sandra", "non-dropping-particle" : "", "parse-names" : false, "suffix" : "" }, { "dropping-particle" : "", "family" : "Kountz", "given" : "David", "non-dropping-particle" : "", "parse-names" : false, "suffix" : "" }, { "dropping-particle" : "", "family" : "Townsend", "given" : "Raymond R", "non-dropping-particle" : "", "parse-names" : false, "suffix" : "" }, { "dropping-particle" : "", "family" : "Chalmers", "given" : "John", "non-dropping-particle" : "", "parse-names" : false, "suffix" : "" }, { "dropping-particle" : "", "family" : "Ramirez", "given" : "Agustin J", "non-dropping-particle" : "", "parse-names" : false, "suffix" : "" }, { "dropping-particle" : "", "family" : "Bakris", "given" : "George L", "non-dropping-particle" : "", "parse-names" : false, "suffix" : "" }, { "dropping-particle" : "", "family" : "Wang", "given" : "Jiguang", "non-dropping-particle" : "", "parse-names" : false, "suffix" : "" }, { "dropping-particle" : "", "family" : "Schutte", "given" : "Aletta E", "non-dropping-particle" : "", "parse-names" : false, "suffix" : "" }, { "dropping-particle" : "", "family" : "Bisognano", "given" : "John D", "non-dropping-particle" : "", "parse-names" : false, "suffix" : "" }, { "dropping-particle" : "", "family" : "Touyz", "given" : "Rhian M", "non-dropping-particle" : "", "parse-names" : false, "suffix" : "" }, { "dropping-particle" : "", "family" : "Sica", "given" : "Dominic", "non-dropping-particle" : "", "parse-names" : false, "suffix" : "" }, { "dropping-particle" : "", "family" : "Harrap", "given" : "Stephen B", "non-dropping-particle" : "", "parse-names" : false, "suffix" : "" } ], "container-title" : "Journal of clinical hypertension (Greenwich, Conn.)", "id" : "ITEM-2", "issue" : "1", "issued" : { "date-parts" : [ [ "2014", "1" ] ] }, "page" : "14-26", "title" : "Clinical practice guidelines for the management of hypertension in the community: a statement by the american society of hypertension and the international society of hypertension.", "type" : "article-journal", "volume" : "16" }, "uris" : [ "http://www.mendeley.com/documents/?uuid=19edb14b-e23e-49c1-b5da-e560b459486b" ] } ], "mendeley" : { "previouslyFormattedCitation" : "[James \u0438 \u0434\u0440., 2013; Weber \u0438 \u0434\u0440., 2014]"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[James и др., 2013; Weber и др., 2014]</w:t>
      </w:r>
      <w:r w:rsidR="009D7C63" w:rsidRPr="0044196C">
        <w:rPr>
          <w:color w:val="000000" w:themeColor="text1"/>
        </w:rPr>
        <w:fldChar w:fldCharType="end"/>
      </w:r>
      <w:r w:rsidRPr="0044196C">
        <w:rPr>
          <w:color w:val="000000" w:themeColor="text1"/>
        </w:rPr>
        <w:t xml:space="preserve"> и ведению пациентов с ХБП С1-3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"10.7326/0003-4819-159-12-201312170-00726", "ISSN" : "1539-3704", "PMID" : "24145991", "abstract" : "DESCRIPTION: The American College of Physicians (ACP) developed this guideline to present the evidence and provide clinical recommendations on the screening, monitoring, and treatment of adults with stage 1 to 3 chronic kidney disease. METHODS: This guideline is based on a systematic evidence review evaluating the published literature on this topic from 1985 through November 2011 that was identified by using MEDLINE and the Cochrane Database of Systematic Reviews. Searches were limited to English-language publications. The clinical outcomes evaluated for this guideline included all-cause mortality, cardiovascular mortality, myocardial infarction, stroke, chronic heart failure, composite vascular outcomes, composite renal outcomes, end-stage renal disease, quality of life, physical function, and activities of daily living. This guideline grades the evidence and recommendations by using ACP's clinical practice guidelines grading system. RECOMMENDATION 1: ACP recommends against screening for chronic kidney disease in asymptomatic adults without risk factors for chronic kidney disease. (Grade: weak recommendation, low-quality evidence) RECOMMENDATION 2: ACP recommends against testing for proteinuria in adults with or without diabetes who are currently taking an angiotensin-converting enzyme inhibitor or an angiotensin II-receptor blocker. (Grade: weak recommendation, low-quality evidence) RECOMMENDATION 3: ACP recommends that clinicians select pharmacologic therapy that includes either an angiotensin-converting enzyme inhibitor (moderate-quality evidence) or an angiotensin II-receptor blocker (high-quality evidence) in patients with hypertension and stage 1 to 3 chronic kidney disease. (Grade: strong recommendation) RECOMMENDATION 4: ACP recommends that clinicians choose statin therapy to manage elevated low-density lipoprotein in patients with stage 1 to 3 chronic kidney disease. (Grade: strong recommendation, moderate-quality evidence).", "author" : [ { "dropping-particle" : "", "family" : "Qaseem", "given" : "Amir", "non-dropping-particle" : "", "parse-names" : false, "suffix" : "" }, { "dropping-particle" : "", "family" : "Hopkins", "given" : "Robert H", "non-dropping-particle" : "", "parse-names" : false, "suffix" : "" }, { "dropping-particle" : "", "family" : "Sweet", "given" : "Donna E", "non-dropping-particle" : "", "parse-names" : false, "suffix" : "" }, { "dropping-particle" : "", "family" : "Starkey", "given" : "Melissa", "non-dropping-particle" : "", "parse-names" : false, "suffix" : "" }, { "dropping-particle" : "", "family" : "Shekelle", "given" : "Paul", "non-dropping-particle" : "", "parse-names" : false, "suffix" : "" } ], "container-title" : "Annals of internal medicine", "id" : "ITEM-1", "issue" : "12", "issued" : { "date-parts" : [ [ "2013", "12", "17" ] ] }, "page" : "835-47", "title" : "Screening, monitoring, and treatment of stage 1 to 3 chronic kidney disease: A clinical practice guideline from the American College of Physicians.", "type" : "article-journal", "volume" : "159" }, "uris" : [ "http://www.mendeley.com/documents/?uuid=ec5a6bd1-68c8-4efb-9c32-5c581b7fab80" ] } ], "mendeley" : { "previouslyFormattedCitation" : "[Qaseem \u0438 \u0434\u0440., 2013]"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[Qaseem и др., 2013]</w:t>
      </w:r>
      <w:r w:rsidR="009D7C63" w:rsidRPr="0044196C">
        <w:rPr>
          <w:color w:val="000000" w:themeColor="text1"/>
        </w:rPr>
        <w:fldChar w:fldCharType="end"/>
      </w:r>
      <w:r w:rsidRPr="0044196C">
        <w:rPr>
          <w:color w:val="000000" w:themeColor="text1"/>
        </w:rPr>
        <w:t xml:space="preserve">, в отличие от более ранних, непредусматриваютболеестрогогоконтроляАДприХБП. </w:t>
      </w:r>
      <w:r w:rsidR="004B4A11" w:rsidRPr="0044196C">
        <w:rPr>
          <w:color w:val="000000" w:themeColor="text1"/>
        </w:rPr>
        <w:t xml:space="preserve">В то же время рекомендации </w:t>
      </w:r>
      <w:r w:rsidR="004B4A11" w:rsidRPr="0044196C">
        <w:rPr>
          <w:color w:val="000000" w:themeColor="text1"/>
          <w:lang w:val="en-US"/>
        </w:rPr>
        <w:t>KDIGO</w:t>
      </w:r>
      <w:r w:rsidR="004B4A11" w:rsidRPr="0044196C">
        <w:rPr>
          <w:color w:val="000000" w:themeColor="text1"/>
        </w:rPr>
        <w:t xml:space="preserve"> по контролю АГ при ХБП, рекомендации 2013 Европейского общества кардиологов 2013 г и  Российские рекомендации по кардионефрорпротекции не исключают попытку достижения АД ниже 130/80 мм рт.ст. при хорошей переносимости </w:t>
      </w:r>
      <w:r w:rsidR="009D7C63" w:rsidRPr="0044196C">
        <w:rPr>
          <w:color w:val="000000" w:themeColor="text1"/>
        </w:rPr>
        <w:fldChar w:fldCharType="begin" w:fldLock="1"/>
      </w:r>
      <w:r w:rsidR="00EA3B99" w:rsidRPr="0044196C">
        <w:rPr>
          <w:color w:val="000000" w:themeColor="text1"/>
        </w:rPr>
        <w:instrText>ADDIN CSL_CITATION { "citationItems" : [ { "id" : "ITEM-1", "itemData" : { "author" : [ { "dropping-particle" : "", "family" : "KidneyDisease: Improving Global Outcomes (KDIGO) Blood Pressure Work Group", "given" : "", "non-dropping-particle" : "", "parse-names" : false, "suffix" : "" } ], "container-title" : "Kidney international", "id" : "ITEM-1", "issue" : "5", "issued" : { "date-parts" : [ [ "2012" ] ] }, "title" : "KDIGO Clinical Practice Guideline for the Management of Blood Pressure in Chronic Kidney Disease", "type" : "article-journal", "volume" : "2" }, "uris" : [ "http://www.mendeley.com/documents/?uuid=53582766-cd69-4a5e-af19-06f7057f50cc" ] }, { "id" : "ITEM-2", "itemData" : { "author" : [ { "dropping-particle" : "", "family" : "\u041d\u0430\u0446\u0438\u043e\u043d\u0430\u043b\u044c\u043d\u044b\u0435 \u0440\u0435\u043a\u043e\u043c\u0435\u043d\u0434\u0430\u0446\u0438\u0438", "given" : "", "non-dropping-particle" : "", "parse-names" : false, "suffix" : "" } ], "container-title" : "\u041a\u043b\u0438\u043d\u0438\u0447\u0435\u0441\u043a\u0430\u044f \u043d\u0435\u0444\u0440\u043e\u043b\u043e\u0433\u0438\u044f", "id" : "ITEM-2", "issue" : "2", "issued" : { "date-parts" : [ [ "2014" ] ] }, "page" : "4-29", "title" : "\u0421\u0435\u0440\u0434\u0435\u0447\u043d\u043e-\u0441\u043e\u0441\u0443\u0434\u0438\u0441\u0442\u044b\u0439 \u0440\u0438\u0441\u043a \u0438 \u0445\u0440\u043e\u043d\u0438\u0447\u0435\u0441\u043a\u0430\u044f \u0431\u043e\u043b\u0435\u0437\u043d\u044c \u043f\u043e\u0447\u0435\u043a: \u0441\u0442\u0440\u0430\u0442\u0435\u0433\u0438\u0438 \u043a\u0430\u0440\u0434\u0438\u043e\u043d\u0435\u0444\u0440\u043e\u043f\u0440\u043e\u0442\u0435\u043a\u0446\u0438\u0438. \u043f\u043e\u0434 \u0440\u0435\u0434. \u0412.\u0421. \u041c\u043e\u0438\u0441\u0435\u0435\u0432\u0430 \u0438 \u041d.\u0410.\u041c\u0443\u0445\u0438\u043d\u0430", "type" : "article-journal" }, "uris" : [ "http://www.mendeley.com/documents/?uuid=abc5b621-a90d-4650-83a6-1c06abc90498" ] }, { "id" : "ITEM-3", "itemData" : { "DOI" : "10.1093/eurheartj/eht151", "ISSN" : "1522-9645", "PMID" : "23771844", "author" : [ { "dropping-particle" : "", "family" : "Mancia", "given" : "Giuseppe", "non-dropping-particle" : "", "parse-names" : false, "suffix" : "" }, { "dropping-particle" : "", "family" : "Fagard", "given" : "Robert", "non-dropping-particle" : "", "parse-names" : false, "suffix" : "" }, { "dropping-particle" : "", "family" : "Narkiewicz", "given" : "Krzysztof", "non-dropping-particle" : "", "parse-names" : false, "suffix" : "" }, { "dropping-particle" : "", "family" : "Redon", "given" : "Josep", "non-dropping-particle" : "", "parse-names" : false, "suffix" : "" }, { "dropping-particle" : "", "family" : "Zanchetti", "given" : "Alberto", "non-dropping-particle" : "", "parse-names" : false, "suffix" : "" }, { "dropping-particle" : "", "family" : "B\u00f6hm", "given" : "Michael", "non-dropping-particle" : "", "parse-names" : false, "suffix" : "" }, { "dropping-particle" : "", "family" : "Christiaens", "given" : "Thierry", "non-dropping-particle" : "", "parse-names" : false, "suffix" : "" }, { "dropping-particle" : "", "family" : "Cifkova", "given" : "Renata", "non-dropping-particle" : "", "parse-names" : false, "suffix" : "" }, { "dropping-particle" : "", "family" : "Backer", "given" : "Guy", "non-dropping-particle" : "De", "parse-names" : false, "suffix" : "" }, { "dropping-particle" : "", "family" : "Dominiczak", "given" : "Anna", "non-dropping-particle" : "", "parse-names" : false, "suffix" : "" }, { "dropping-particle" : "", "family" : "Galderisi", "given" : "Maurizio", "non-dropping-particle" : "", "parse-names" : false, "suffix" : "" }, { "dropping-particle" : "", "family" : "Grobbee", "given" : "Diederick E", "non-dropping-particle" : "", "parse-names" : false, "suffix" : "" }, { "dropping-particle" : "", "family" : "Jaarsma", "given" : "Tiny", "non-dropping-particle" : "", "parse-names" : false, "suffix" : "" }, { "dropping-particle" : "", "family" : "Kirchhof", "given" : "Paulus", "non-dropping-particle" : "", "parse-names" : false, "suffix" : "" }, { "dropping-particle" : "", "family" : "Kjeldsen", "given" : "Sverre E", "non-dropping-particle" : "", "parse-names" : false, "suffix" : "" }, { "dropping-particle" : "", "family" : "Laurent", "given" : "St\u00e9phane", "non-dropping-particle" : "", "parse-names" : false, "suffix" : "" }, { "dropping-particle" : "", "family" : "Manolis", "given" : "Athanasios J", "non-dropping-particle" : "", "parse-names" : false, "suffix" : "" }, { "dropping-particle" : "", "family" : "Nilsson", "given" : "Peter M", "non-dropping-particle" : "", "parse-names" : false, "suffix" : "" }, { "dropping-particle" : "", "family" : "Ruilope", "given" : "Luis Miguel", "non-dropping-particle" : "", "parse-names" : false, "suffix" : "" }, { "dropping-particle" : "", "family" : "Schmieder", "given" : "Roland E", "non-dropping-particle" : "", "parse-names" : false, "suffix" : "" }, { "dropping-particle" : "", "family" : "Sirnes", "given" : "Per Anton", "non-dropping-particle" : "", "parse-names" : false, "suffix" : "" }, { "dropping-particle" : "", "family" : "Sleight", "given" : "Peter", "non-dropping-particle" : "", "parse-names" : false, "suffix" : "" }, { "dropping-particle" : "", "family" : "Viigimaa", "given" : "Margus", "non-dropping-particle" : "", "parse-names" : false, "suffix" : "" }, { "dropping-particle" : "", "family" : "Waeber", "given" : "Bernard", "non-dropping-particle" : "", "parse-names" : false, "suffix" : "" }, { "dropping-particle" : "", "family" : "Zannad", "given" : "Faiez", "non-dropping-particle" : "", "parse-names" : false, "suffix" : "" }, { "dropping-particle" : "", "family" : "Burnier", "given" : "Michel", "non-dropping-particle" : "", "parse-names" : false, "suffix" : "" }, { "dropping-particle" : "", "family" : "Ambrosioni", "given" : "Ettore", "non-dropping-particle" : "", "parse-names" : false, "suffix" : "" }, { "dropping-particle" : "", "family" : "Caufield", "given" : "Mark", "non-dropping-particle" : "", "parse-names" : false, "suffix" : "" }, { "dropping-particle" : "", "family" : "Coca", "given" : "Antonio", "non-dropping-particle" : "", "parse-names" : false, "suffix" : "" }, { "dropping-particle" : "", "family" : "Olsen", "given" : "Michael Hecht", "non-dropping-particle" : "", "parse-names" : false, "suffix" : "" }, { "dropping-particle" : "", "family" : "Tsioufis", "given" : "Costas", "non-dropping-particle" : "", "parse-names" : false, "suffix" : "" }, { "dropping-particle" : "", "family" : "Borne", "given" : "Philippe", "non-dropping-particle" : "van de", "parse-names" : false, "suffix" : "" }, { "dropping-particle" : "", "family" : "Zamorano", "given" : "Jose Luis", "non-dropping-particle" : "", "parse-names" : false, "suffix" : "" }, { "dropping-particle" : "", "family" : "Achenbach", "given" : "Stephan", "non-dropping-particle" : "", "parse-names" : false, "suffix" : "" }, { "dropping-particle" : "", "family" : "Baumgartner", "given" : "Helmut", "non-dropping-particle" : "", "parse-names" : false, "suffix" : "" }, { "dropping-particle" : "", "family" : "Bax", "given" : "Jeroen J", "non-dropping-particle" : "", "parse-names" : false, "suffix" : "" }, { "dropping-particle" : "", "family" : "Bueno", "given" : "H\u00e9ctor", "non-dropping-particle" : "", "parse-names" : false, "suffix" : "" }, { "dropping-particle" : "", "family" : "Dean", "given" : "Veronica", "non-dropping-particle" : "", "parse-names" : false, "suffix" : "" }, { "dropping-particle" : "", "family" : "Deaton", "given" : "Christi", "non-dropping-particle" : "", "parse-names" : false, "suffix" : "" }, { "dropping-particle" : "", "family" : "Erol", "given" : "Cetin", "non-dropping-particle" : "", "parse-names" : false, "suffix" : "" }, { "dropping-particle" : "", "family" : "Ferrari", "given" : "Roberto", "non-dropping-particle" : "", "parse-names" : false, "suffix" : "" }, { "dropping-particle" : "", "family" : "Hasdai", "given" : "David", "non-dropping-particle" : "", "parse-names" : false, "suffix" : "" }, { "dropping-particle" : "", "family" : "Hoes", "given" : "Arno W", "non-dropping-particle" : "", "parse-names" : false, "suffix" : "" }, { "dropping-particle" : "", "family" : "Knuuti", "given" : "Juhani", "non-dropping-particle" : "", "parse-names" : false, "suffix" : "" }, { "dropping-particle" : "", "family" : "Kolh", "given" : "Philippe", "non-dropping-particle" : "", "parse-names" : false, "suffix" : "" }, { "dropping-particle" : "", "family" : "Lancellotti", "given" : "Patrizio", "non-dropping-particle" : "", "parse-names" : false, "suffix" : "" }, { "dropping-particle" : "", "family" : "Linhart", "given" : "Ales", "non-dropping-particle" : "", "parse-names" : false, "suffix" : "" }, { "dropping-particle" : "", "family" : "Nihoyannopoulos", "given" : "Petros", "non-dropping-particle" : "", "parse-names" : false, "suffix" : "" }, { "dropping-particle" : "", "family" : "Piepoli", "given" : "Massimo F", "non-dropping-particle" : "", "parse-names" : false, "suffix" : "" }, { "dropping-particle" : "", "family" : "Ponikowski", "given" : "Piotr", "non-dropping-particle" : "", "parse-names" : false, "suffix" : "" }, { "dropping-particle" : "", "family" : "Tamargo", "given" : "Juan Luis", "non-dropping-particle" : "", "parse-names" : false, "suffix" : "" }, { "dropping-particle" : "", "family" : "Tendera", "given" : "Michal", "non-dropping-particle" : "", "parse-names" : false, "suffix" : "" }, { "dropping-particle" : "", "family" : "Torbicki", "given" : "Adam", "non-dropping-particle" : "", "parse-names" : false, "suffix" : "" }, { "dropping-particle" : "", "family" : "Wijns", "given" : "William", "non-dropping-particle" : "", "parse-names" : false, "suffix" : "" }, { "dropping-particle" : "", "family" : "Windecker", "given" : "Stephan", "non-dropping-particle" : "", "parse-names" : false, "suffix" : "" }, { "dropping-particle" : "", "family" : "Clement", "given" : "Denis L", "non-dropping-particle" : "", "parse-names" : false, "suffix" : "" }, { "dropping-particle" : "", "family" : "Gillebert", "given" : "Thierry C", "non-dropping-particle" : "", "parse-names" : false, "suffix" : "" }, { "dropping-particle" : "", "family" : "Rosei", "given" : "Enrico Agabiti", "non-dropping-particle" : "", "parse-names" : false, "suffix" : "" }, { "dropping-particle" : "", "family" : "Anker", "given" : "Stefan D", "non-dropping-particle" : "", "parse-names" : false, "suffix" : "" }, { "dropping-particle" : "", "family" : "Bauersachs", "given" : "Johann", "non-dropping-particle" : "", "parse-names" : false, "suffix" : "" }, { "dropping-particle" : "", "family" : "Hitij", "given" : "Jana Brguljan", "non-dropping-particle" : "", "parse-names" : false, "suffix" : "" }, { "dropping-particle" : "", "family" : "Caulfield", "given" : "Mark", "non-dropping-particle" : "", "parse-names" : false, "suffix" : "" }, { "dropping-particle" : "", "family" : "Buyzere", "given" : "Marc", "non-dropping-particle" : "De", "parse-names" : false, "suffix" : "" }, { "dropping-particle" : "", "family" : "Geest", "given" : "Sabina", "non-dropping-particle" : "De", "parse-names" : false, "suffix" : "" }, { "dropping-particle" : "", "family" : "Derumeaux", "given" : "Genevi\u00e8ve Anne", "non-dropping-particle" : "", "parse-names" : false, "suffix" : "" }, { "dropping-particle" : "", "family" : "Erdine", "given" : "Serap", "non-dropping-particle" : "", "parse-names" : false, "suffix" : "" }, { "dropping-particle" : "", "family" : "Farsang", "given" : "Csaba", "non-dropping-particle" : "", "parse-names" : false, "suffix" : "" }, { "dropping-particle" : "", "family" : "Funck-Brentano", "given" : "Christian", "non-dropping-particle" : "", "parse-names" : false, "suffix" : "" }, { "dropping-particle" : "", "family" : "Gerc", "given" : "Vjekoslav", "non-dropping-particle" : "", "parse-names" : false, "suffix" : "" }, { "dropping-particle" : "", "family" : "Germano", "given" : "Giuseppe", "non-dropping-particle" : "", "parse-names" : false, "suffix" : "" }, { "dropping-particle" : "", "family" : "Gielen", "given" : "Stephan", "non-dropping-particle" : "", "parse-names" : false, "suffix" : "" }, { "dropping-particle" : "", "family" : "Haller", "given" : "Herman", "non-dropping-particle" : "", "parse-names" : false, "suffix" : "" }, { "dropping-particle" : "", "family" : "Jordan", "given" : "Jens", "non-dropping-particle" : "", "parse-names" : false, "suffix" : "" }, { "dropping-particle" : "", "family" : "Kahan", "given" : "Thomas", "non-dropping-particle" : "", "parse-names" : false, "suffix" : "" }, { "dropping-particle" : "", "family" : "Komajda", "given" : "Michel", "non-dropping-particle" : "", "parse-names" : false, "suffix" : "" }, { "dropping-particle" : "", "family" : "Lovic", "given" : "Dragan", "non-dropping-particle" : "", "parse-names" : false, "suffix" : "" }, { "dropping-particle" : "", "family" : "Mahrholdt", "given" : "Heiko", "non-dropping-particle" : "", "parse-names" : false, "suffix" : "" }, { "dropping-particle" : "", "family" : "Ostergren", "given" : "Jan", "non-dropping-particle" : "", "parse-names" : false, "suffix" : "" }, { "dropping-particle" : "", "family" : "Parati", "given" : "Gianfranco", "non-dropping-particle" : "", "parse-names" : false, "suffix" : "" }, { "dropping-particle" : "", "family" : "Perk", "given" : "Joep", "non-dropping-particle" : "", "parse-names" : false, "suffix" : "" }, { "dropping-particle" : "", "family" : "Polonia", "given" : "Jorge", "non-dropping-particle" : "", "parse-names" : false, "suffix" : "" }, { "dropping-particle" : "", "family" : "Popescu", "given" : "Bogdan a", "non-dropping-particle" : "", "parse-names" : false, "suffix" : "" }, { "dropping-particle" : "", "family" : "Reiner", "given" : "Zeljko", "non-dropping-particle" : "", "parse-names" : false, "suffix" : "" }, { "dropping-particle" : "", "family" : "Ryd\u00e9n", "given" : "Lars", "non-dropping-particle" : "", "parse-names" : false, "suffix" : "" }, { "dropping-particle" : "", "family" : "Sirenko", "given" : "Yuriy", "non-dropping-particle" : "", "parse-names" : false, "suffix" : "" }, { "dropping-particle" : "", "family" : "Stanton", "given" : "Alice", "non-dropping-particle" : "", "parse-names" : false, "suffix" : "" }, { "dropping-particle" : "", "family" : "Struijker-Boudier", "g</w:instrText>
      </w:r>
      <w:r w:rsidR="00EA3B99" w:rsidRPr="0044196C">
        <w:rPr>
          <w:color w:val="000000" w:themeColor="text1"/>
          <w:lang w:val="en-US"/>
        </w:rPr>
        <w:instrText>iven" : "Harry", "non-dropping-particle" : "", "parse-names" : false, "suffix" : "" }, { "dropping-particle" : "", "family" : "Vlachopoulos", "given" : "Charalambos", "non-dropping-particle" : "", "parse-names" : false, "suffix" : "" }, { "dropping-particle" : "", "family" : "Volpe", "given" : "Massimo", "non-dropping-particle" : "", "parse-names" : false, "suffix" : "" }, { "dropping-particle" : "", "family" : "Wood", "given" : "David a", "non-dropping-particle" : "", "parse-names" : false, "suffix" : "" } ], "container-title" : "European heart journal", "id" : "ITEM-3", "issue" : "28", "issued" : { "date-parts" : [ [ "2013", "7" ] ] }, "page" : "2159-219", "title" : "2013 ESH/ESC guidelines for the management of arterial hypertension: the Task Force for the Management of Arterial Hypertension of the European Society of Hypertension (ESH) and of the European Society of Cardiology (ESC).", "type" : "article-journal", "volume" : "34" }, "uris" : [ "http://www.mendeley.com/documents/?uuid=3a63d721-cff4-4b35-b0fa-75b89cd65fdf" ] } ], "mendeley" : { "previouslyFormattedCitation" : "[\u041d\u0430\u0446\u0438\u043e\u043d\u0430\u043b\u044c\u043d\u044b\u0435 \u0440\u0435\u043a\u043e\u043c\u0435\u043d\u0434\u0430\u0446\u0438\u0438, 2014; KidneyDisease: Improving Global Outcomes (KDIGO) Blood Pressure Work Group, 2012; Mancia \u0438 \u0434\u0440., 2013]"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lang w:val="en-US"/>
        </w:rPr>
        <w:t>[</w:t>
      </w:r>
      <w:r w:rsidR="00EA3B99" w:rsidRPr="0044196C">
        <w:rPr>
          <w:noProof/>
          <w:color w:val="000000" w:themeColor="text1"/>
        </w:rPr>
        <w:t>Национальные</w:t>
      </w:r>
      <w:r w:rsidR="00EA3B99" w:rsidRPr="0044196C">
        <w:rPr>
          <w:noProof/>
          <w:color w:val="000000" w:themeColor="text1"/>
          <w:lang w:val="en-US"/>
        </w:rPr>
        <w:t xml:space="preserve"> </w:t>
      </w:r>
      <w:r w:rsidR="00EA3B99" w:rsidRPr="0044196C">
        <w:rPr>
          <w:noProof/>
          <w:color w:val="000000" w:themeColor="text1"/>
        </w:rPr>
        <w:t>рекомендации</w:t>
      </w:r>
      <w:r w:rsidR="00EA3B99" w:rsidRPr="0044196C">
        <w:rPr>
          <w:noProof/>
          <w:color w:val="000000" w:themeColor="text1"/>
          <w:lang w:val="en-US"/>
        </w:rPr>
        <w:t xml:space="preserve">, 2014; KidneyDisease: Improving Global Outcomes (KDIGO) Blood Pressure Work Group, 2012; Mancia </w:t>
      </w:r>
      <w:r w:rsidR="00EA3B99" w:rsidRPr="0044196C">
        <w:rPr>
          <w:noProof/>
          <w:color w:val="000000" w:themeColor="text1"/>
        </w:rPr>
        <w:t>и</w:t>
      </w:r>
      <w:r w:rsidR="00EA3B99" w:rsidRPr="0044196C">
        <w:rPr>
          <w:noProof/>
          <w:color w:val="000000" w:themeColor="text1"/>
          <w:lang w:val="en-US"/>
        </w:rPr>
        <w:t xml:space="preserve"> </w:t>
      </w:r>
      <w:r w:rsidR="00EA3B99" w:rsidRPr="0044196C">
        <w:rPr>
          <w:noProof/>
          <w:color w:val="000000" w:themeColor="text1"/>
        </w:rPr>
        <w:t>др</w:t>
      </w:r>
      <w:r w:rsidR="00EA3B99" w:rsidRPr="0044196C">
        <w:rPr>
          <w:noProof/>
          <w:color w:val="000000" w:themeColor="text1"/>
          <w:lang w:val="en-US"/>
        </w:rPr>
        <w:t>., 2013]</w:t>
      </w:r>
      <w:r w:rsidR="009D7C63" w:rsidRPr="0044196C">
        <w:rPr>
          <w:color w:val="000000" w:themeColor="text1"/>
        </w:rPr>
        <w:fldChar w:fldCharType="end"/>
      </w:r>
      <w:r w:rsidR="004B4A11" w:rsidRPr="0044196C">
        <w:rPr>
          <w:color w:val="000000" w:themeColor="text1"/>
          <w:lang w:val="en-US"/>
        </w:rPr>
        <w:t>.</w:t>
      </w:r>
    </w:p>
    <w:p w:rsidR="003F3974" w:rsidRPr="0044196C" w:rsidRDefault="003F3974" w:rsidP="003F3974">
      <w:pPr>
        <w:rPr>
          <w:color w:val="000000" w:themeColor="text1"/>
        </w:rPr>
      </w:pPr>
      <w:r w:rsidRPr="0044196C">
        <w:rPr>
          <w:color w:val="000000" w:themeColor="text1"/>
        </w:rPr>
        <w:t>Сохраняющаяся неопределенность относительно целевого уровня АД при ХБП – одного из важнейших вопросов нефропротективной стратегии – объясняется, прежде всего, малой доказательной базой</w:t>
      </w:r>
      <w:r w:rsidR="00257C0B" w:rsidRPr="0044196C">
        <w:rPr>
          <w:color w:val="000000" w:themeColor="text1"/>
        </w:rPr>
        <w:t xml:space="preserve">, особенно </w:t>
      </w:r>
      <w:r w:rsidR="004B4A11" w:rsidRPr="0044196C">
        <w:rPr>
          <w:color w:val="000000" w:themeColor="text1"/>
        </w:rPr>
        <w:t>касающейся пациентов с выраженной протеинурией</w:t>
      </w:r>
      <w:r w:rsidR="004759A3" w:rsidRPr="0044196C">
        <w:rPr>
          <w:color w:val="000000" w:themeColor="text1"/>
        </w:rPr>
        <w:t xml:space="preserve"> и значительной неоднородностью пациентов ХБП</w:t>
      </w:r>
      <w:r w:rsidR="004B4A11" w:rsidRPr="0044196C">
        <w:rPr>
          <w:color w:val="000000" w:themeColor="text1"/>
        </w:rPr>
        <w:t>.</w:t>
      </w:r>
      <w:r w:rsidRPr="0044196C">
        <w:rPr>
          <w:color w:val="000000" w:themeColor="text1"/>
        </w:rPr>
        <w:t>Для доказательства пользы и безопасности строгого контроля АД требу</w:t>
      </w:r>
      <w:r w:rsidR="003A2836" w:rsidRPr="0044196C">
        <w:rPr>
          <w:color w:val="000000" w:themeColor="text1"/>
        </w:rPr>
        <w:t>ю</w:t>
      </w:r>
      <w:r w:rsidRPr="0044196C">
        <w:rPr>
          <w:color w:val="000000" w:themeColor="text1"/>
        </w:rPr>
        <w:t>тся исследовани</w:t>
      </w:r>
      <w:r w:rsidR="003A2836" w:rsidRPr="0044196C">
        <w:rPr>
          <w:color w:val="000000" w:themeColor="text1"/>
        </w:rPr>
        <w:t>я</w:t>
      </w:r>
      <w:r w:rsidRPr="0044196C">
        <w:rPr>
          <w:color w:val="000000" w:themeColor="text1"/>
        </w:rPr>
        <w:t>, включающ</w:t>
      </w:r>
      <w:r w:rsidR="003A2836" w:rsidRPr="0044196C">
        <w:rPr>
          <w:color w:val="000000" w:themeColor="text1"/>
        </w:rPr>
        <w:t>и</w:t>
      </w:r>
      <w:r w:rsidRPr="0044196C">
        <w:rPr>
          <w:color w:val="000000" w:themeColor="text1"/>
        </w:rPr>
        <w:t xml:space="preserve">е очень большое число пациентов и предусматривающее многолетнее наблюдение. Наиболее часто применяемыми средствами  для снижения АД при ХБП являются ИАПФ и БРА, обладающие помимо антигипертензивногоантипротеинурическим и нефропротективным действием, кроме того, назначается малобелковая диета и другие компоненты нефропротективного лечения. Поэтому проанализировать самостоятельный вклад достижения целевого АД представляет собой трудную задачу. Кроме того, строгого контроля АД удается достичь лишь у </w:t>
      </w:r>
      <w:r w:rsidR="00257C0B" w:rsidRPr="0044196C">
        <w:rPr>
          <w:color w:val="000000" w:themeColor="text1"/>
        </w:rPr>
        <w:t>20-50</w:t>
      </w:r>
      <w:r w:rsidR="00257C0B" w:rsidRPr="0044196C">
        <w:rPr>
          <w:color w:val="000000" w:themeColor="text1"/>
        </w:rPr>
        <w:sym w:font="Symbol" w:char="F025"/>
      </w:r>
      <w:r w:rsidRPr="0044196C">
        <w:rPr>
          <w:color w:val="000000" w:themeColor="text1"/>
        </w:rPr>
        <w:t xml:space="preserve"> пациентов с ХБП</w:t>
      </w:r>
      <w:r w:rsidR="00257C0B" w:rsidRPr="0044196C">
        <w:rPr>
          <w:color w:val="000000" w:themeColor="text1"/>
        </w:rPr>
        <w:t xml:space="preserve"> из-за высокой частоты резистентности к лечению</w:t>
      </w:r>
      <w:r w:rsidRPr="0044196C">
        <w:rPr>
          <w:color w:val="000000" w:themeColor="text1"/>
        </w:rPr>
        <w:t xml:space="preserve">, а у больных пожилого возраста, составляющих большую долю лиц с ХБП, строгий контроль АД может быть опасен из-за риска сердечно-сосудистых осложнений. </w:t>
      </w:r>
    </w:p>
    <w:p w:rsidR="003F3974" w:rsidRPr="0044196C" w:rsidRDefault="003F3974" w:rsidP="003F3974">
      <w:pPr>
        <w:rPr>
          <w:color w:val="000000" w:themeColor="text1"/>
        </w:rPr>
      </w:pPr>
      <w:r w:rsidRPr="0044196C">
        <w:rPr>
          <w:color w:val="000000" w:themeColor="text1"/>
        </w:rPr>
        <w:t xml:space="preserve">Важнейшим фактором, влияющим на эффективность строгого контроля АД, является уровень протеинурии, как было показано в исследовании </w:t>
      </w:r>
      <w:r w:rsidRPr="0044196C">
        <w:rPr>
          <w:color w:val="000000" w:themeColor="text1"/>
          <w:lang w:val="en-US"/>
        </w:rPr>
        <w:t>MDRD</w:t>
      </w:r>
      <w:r w:rsidR="009D7C63" w:rsidRPr="0044196C">
        <w:rPr>
          <w:color w:val="000000" w:themeColor="text1"/>
        </w:rPr>
        <w:fldChar w:fldCharType="begin" w:fldLock="1"/>
      </w:r>
      <w:r w:rsidR="00EA3B99" w:rsidRPr="0044196C">
        <w:rPr>
          <w:color w:val="000000" w:themeColor="text1"/>
        </w:rPr>
        <w:instrText>ADDIN CSL_CITATION { "citationItems" : [ { "id" : "ITEM-1", "itemData" : { "author" : [ { "dropping-particle" : "", "family" : "Klahr", "given" : "S", "non-dropping-particle" : "", "parse-names" : false, "suffix" : "" }, { "dropping-particle" : "", "family" : "Levey", "given" : "AS", "non-dropping-particle" : "", "parse-names" : false, "suffix" : "" }, { "dropping-particle" : "", "family" : "Beck", "given" : "GJ", "non-dropping-particle" : "", "parse-names" : false, "suffix" : "" } ], "container-title" : "New England Journal of  \u2026", "id" : "ITEM-1", "issued" : { "date-parts" : [ [ "1994" ] ] }, "title" : "The effects of dietary protein restriction and blood-pressure control on the progression of chronic renal disease", "type" : "article-journal" }, "uris" : [ "http://www.mendeley.com/documents/?uuid=3fff4402-1664-463d-94f1-3ad8d11ff789" ] } ], "mendeley" : { "previouslyFormattedCitation" : "[Klahr, Levey, Beck, 1994]"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[Klahr, Levey, Beck, 1994]</w:t>
      </w:r>
      <w:r w:rsidR="009D7C63" w:rsidRPr="0044196C">
        <w:rPr>
          <w:color w:val="000000" w:themeColor="text1"/>
        </w:rPr>
        <w:fldChar w:fldCharType="end"/>
      </w:r>
      <w:r w:rsidRPr="0044196C">
        <w:rPr>
          <w:color w:val="000000" w:themeColor="text1"/>
        </w:rPr>
        <w:t xml:space="preserve">. Длительное наблюдение за лицами, входившими в исследование </w:t>
      </w:r>
      <w:r w:rsidRPr="0044196C">
        <w:rPr>
          <w:color w:val="000000" w:themeColor="text1"/>
          <w:lang w:val="en-US"/>
        </w:rPr>
        <w:t>AASK</w:t>
      </w:r>
      <w:r w:rsidRPr="0044196C">
        <w:rPr>
          <w:color w:val="000000" w:themeColor="text1"/>
        </w:rPr>
        <w:t xml:space="preserve">, хотя не установило преимуществ более строгого контроля АД в целом по группе, однако показало их в подгруппе лиц  с выраженной протеинурией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"10.1056/NEJMoa0910975", "ISSN" : "1533-4406", "PMID" : "20818902", "abstract" : "BACKGROUND: In observational studies, the relationship between blood pressure and end-stage renal disease (ESRD) is direct and progressive. The burden of hypertension-related chronic kidney disease and ESRD is especially high among black patients. Yet few trials have tested whether intensive blood-pressure control retards the progression of chronic kidney disease among black patients.\n\nMETHODS: We randomly assigned 1094 black patients with hypertensive chronic kidney disease to receive either intensive or standard blood-pressure control. After completing the trial phase, patients were invited to enroll in a cohort phase in which the blood-pressure target was less than 130/80 mm Hg. The primary clinical outcome in the cohort phase was the progression of chronic kidney disease, which was defined as a doubling of the serum creatinine level, a diagnosis of ESRD, or death. Follow-up ranged from 8.8 to 12.2 years.\n\nRESULTS: During the trial phase, the mean blood pressure was 130/78 mm Hg in the intensive-control group and 141/86 mm Hg in the standard-control group. During the cohort phase, corresponding mean blood pressures were 131/78 mm Hg and 134/78 mm Hg. In both phases, there was no significant between-group difference in the risk of the primary outcome (hazard ratio in the intensive-control group, 0.91; P=0.27). However, the effects differed according to the baseline level of proteinuria (P=0.02 for interaction), with a potential benefit in patients with a protein-to-creatinine ratio of more than 0.22 (hazard ratio, 0.73; P=0.01).\n\nCONCLUSIONS: In overall analyses, intensive blood-pressure control had no effect on kidney disease progression. However, there may be differential effects of intensive blood-pressure control in patients with and those without baseline proteinuria. (Funded by the National Institute of Diabetes and Digestive and Kidney Diseases, the National Center on Minority Health and Health Disparities, and others.)", "author" : [ { "dropping-particle" : "", "family" : "Appel", "given" : "Lawrence J", "non-dropping-particle" : "", "parse-names" : false, "suffix" : "" }, { "dropping-particle" : "", "family" : "Wright", "given" : "Jackson T", "non-dropping-particle" : "", "parse-names" : false, "suffix" : "" }, { "dropping-particle" : "", "family" : "Greene", "given" : "Tom", "non-dropping-particle" : "", "parse-names" : false, "suffix" : "" }, { "dropping-particle" : "", "family" : "Agodoa", "given" : "Lawrence Y", "non-dropping-particle" : "", "parse-names" : false, "suffix" : "" }, { "dropping-particle" : "", "family" : "Astor", "given" : "Brad C", "non-dropping-particle" : "", "parse-names" : false, "suffix" : "" }, { "dropping-particle" : "", "family" : "Bakris", "given" : "George L", "non-dropping-particle" : "", "parse-names" : false, "suffix" : "" }, { "dropping-particle" : "", "family" : "Cleveland", "given" : "William H", "non-dropping-particle" : "", "parse-names" : false, "suffix" : "" }, { "dropping-particle" : "", "family" : "Charleston", "given" : "Jeanne", "non-dropping-particle" : "", "parse-names" : false, "suffix" : "" }, { "dropping-particle" : "", "family" : "Contreras", "given" : "Gabriel", "non-dropping-particle" : "", "parse-names" : false, "suffix" : "" }, { "dropping-particle" : "", "family" : "Faulkner", "given" : "Marquetta L", "non-dropping-particle" : "", "parse-names" : false, "suffix" : "" }, { "dropping-particle" : "", "family" : "Gabbai", "given" : "Francis B", "non-dropping-particle" : "", "parse-names" : false, "suffix" : "" }, { "dropping-particle" : "", "family" : "Gassman", "given" : "Jennifer J", "non-dropping-particle" : "", "parse-names" : false, "suffix" : "" }, { "dropping-particle" : "", "family" : "Hebert", "given" : "Lee A", "non-dropping-particle" : "", "parse-names" : false, "suffix" : "" }, { "dropping-particle" : "", "family" : "Jamerson", "given" : "Kenneth A", "non-dropping-particle" : "", "parse-names" : false, "suffix" : "" }, { "dropping-particle" : "", "family" : "Kopple", "given" : "Joel D", "non-dropping-particle" : "", "parse-names" : false, "suffix" : "" }, { "dropping-particle" : "", "family" : "Kusek", "given" : "John W", "non-dropping-particle" : "", "parse-names" : false, "suffix" : "" }, { "dropping-particle" : "", "family" : "Lash", "given" : "James P", "non-dropping-particle" : "", "parse-names" : false, "suffix" : "" }, { "dropping-particle" : "", "family" : "Lea", "given" : "Janice P", "non-dropping-particle" : "", "parse-names" : false, "suffix" : "" }, { "dropping-particle" : "", "family" : "Lewis", "given" : "Julia B", "non-dropping-particle" : "", "parse-names" : false, "suffix" : "" }, { "dropping-particle" : "", "family" : "Lipkowitz", "given" : "Michael S", "non-dropping-particle" : "", "parse-names" : false, "suffix" : "" }, { "dropping-particle" : "", "family" : "Massry", "given" : "Shaul G", "non-dropping-particle" : "", "parse-names" : false, "suffix" : "" }, { "dropping-particle" : "", "family" : "Miller", "given" : "Edgar R", "non-dropping-particle" : "", "parse-names" : false, "suffix" : "" }, { "dropping-particle" : "", "family" : "Norris", "given" : "Keith", "non-dropping-particle" : "", "parse-names" : false, "suffix" : "" }, { "dropping-particle" : "", "family" : "Phillips", "given" : "Robert A", "non-dropping-particle" : "", "parse-names" : false, "suffix" : "" }, { "dropping-particle" : "", "family" : "Pogue", "given" : "Velvie A", "non-dropping-particle" : "", "parse-names" : false, "suffix" : "" }, { "dropping-particle" : "", "family" : "Randall", "given" : "Otelio S", "non-dropping-particle" : "", "parse-names" : false, "suffix" : "" }, { "dropping-particle" : "", "family" : "Rostand", "given" : "Stephen G", "non-dropping-particle" : "", "parse-names" : false, "suffix" : "" }, { "dropping-particle" : "", "family" : "Smogorzewski", "given" : "Miroslaw J", "non-dropping-particle" : "", "parse-names" : false, "suffix" : "" }, { "dropping-particle" : "", "family" : "Toto", "given" : "Robert D", "non-dropping-particle" : "", "parse-names" : false, "suffix" : "" }, { "dropping-particle" : "", "family" : "Wang", "given" : "Xuelei", "non-dropping-particle" : "", "parse-names" : false, "suffix" : "" } ], "container-title" : "The New England journal of medicine", "id" : "ITEM-1", "issue" : "10", "issued" : { "date-parts" : [ [ "2010", "9", "2" ] ] }, "page" : "918-29", "title" : "Intensive blood-pressure control in hypertensive chronic kidney disease.", "type" : "article-journal", "volume" : "363" }, "uris" : [ "http://www.mendeley.com/documents/?uuid=0ae681bd-f33c-41e6-9fa4-9dbf6aecf369" ] } ], "mendeley" : { "previouslyFormattedCitation" : "[Appel \u0438 \u0434\u0440., 2010]"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[Appel и др., 2010]</w:t>
      </w:r>
      <w:r w:rsidR="009D7C63" w:rsidRPr="0044196C">
        <w:rPr>
          <w:color w:val="000000" w:themeColor="text1"/>
        </w:rPr>
        <w:fldChar w:fldCharType="end"/>
      </w:r>
      <w:r w:rsidRPr="0044196C">
        <w:rPr>
          <w:color w:val="000000" w:themeColor="text1"/>
        </w:rPr>
        <w:t>. Значение исходного уровня протеинурии для целесообразности более низкого целевого АД при ХБП с точки зрения почечных исходов установил  и метаанализ</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"10.1503/cmaj.121468", "ISSN" : "1488-2329", "PMID" : "23798459", "abstract" : "BACKGROUND: Recent guidelines suggest lowering the target blood pressure for patients with chronic kidney disease, although the strength of evidence for this suggestion has been uncertain. We sought to assess the renal and cardiovascular effects of intensive blood pressure lowering in people with chronic kidney disease.\n\nMETHODS: We performed a systematic review and meta-analysis of all relevant reports published between 1950 and July 2011 identified in a search of MEDLINE, Embase and the Cochrane Library. We included randomized trials that assigned patients with chronic kidney disease to different target blood pressure levels and reported kidney failure or cardiovascular events. Two reviewers independently identified relevant articles and extracted data.\n\nRESULTS: We identified 11 trials providing information on 9287 patients with chronic kidney disease and 1264 kidney failure events (defined as either a composite of doubling of serum creatinine level and 50% decline in glomerular filtration rate, or end-stage kidney disease). Compared with standard regimens, a more intensive blood pressure-lowering strategy reduced the risk of the composite outcome (hazard ratio [HR] 0.82, 95% confidence interval [CI] 0.68-0.98) and end-stage kidney disease (HR 0.79, 95% CI 0.67-0.93). Subgroup analysis showed effect modification by baseline proteinuria (p = 0.006) and markers of trial quality. Intensive blood pressure lowering reduced the risk of kidney failure (HR 0.73, 95% CI 0.62-0.86), but not in patients without proteinuria at baseline (HR 1.12, 95% CI 0.67-1.87). There was no clear effect on the risk of cardiovascular events or death.\n\nINTERPRETATION: Intensive blood pressure lowering appears to provide protection against kidney failure events in patients with chronic kidney disease, particularly among those with proteinuria. More data are required to determine the effects of such a strategy among patients without proteinuria.", "author" : [ { "dropping-particle" : "", "family" : "Lv", "given" : "Jicheng", "non-dropping-particle" : "", "parse-names" : false, "suffix" : "" }, { "dropping-particle" : "", "family" : "Ehteshami", "given" : "Parya", "non-dropping-particle" : "", "parse-names" : false, "suffix" : "" }, { "dropping-particle" : "", "family" : "Sarnak", "given" : "Mark J", "non-dropping-particle" : "", "parse-names" : false, "suffix" : "" }, { "dropping-particle" : "", "family" : "Tighiouart", "given" : "Hocine", "non-dropping-particle" : "", "parse-names" : false, "suffix" : "" }, { "dropping-particle" : "", "family" : "Jun", "given" : "Min", "non-dropping-particle" : "", "parse-names" : false, "suffix" : "" }, { "dropping-particle" : "", "family" : "Ninomiya", "given" : "Toshiharu", "non-dropping-particle" : "", "parse-names" : false, "suffix" : "" }, { "dropping-particle" : "", "family" : "Foote", "given" : "Celine", "non-dropping-particle" : "", "parse-names" : false, "suffix" : "" }, { "dropping-particle" : "", "family" : "Rodgers", "given" : "Anthony", "non-dropping-particle" : "", "parse-names" : false, "suffix" : "" }, { "dropping-particle" : "", "family" : "Zhang", "given" : "Hong", "non-dropping-particle" : "", "parse-names" : false, "suffix" : "" }, { "dropping-particle" : "", "family" : "Wang", "given" : "Haiyan", "non-dropping-particle" : "", "parse-names" : false, "suffix" : "" }, { "dropping-particle" : "", "family" : "Strippoli", "given" : "Giovanni F M", "non-dropping-particle" : "", "parse-names" : false, "suffix" : "" }, { "dropping-particle" : "", "family" : "Perkovic", "given" : "Vlado", "non-dropping-particle" : "", "parse-names" : false, "suffix" : "" } ], "container-title" : "CMAJ : Canadian Medical Association journal = journal de l'Association medicale canadienne", "id" : "ITEM-1", "issue" : "11", "issued" : { "date-parts" : [ [ "2013", "8", "6" ] ] }, "page" : "949-57", "title" : "Effects of intensive blood pressure lowering on the progression of chronic kidney disease: a systematic review and meta-analysis.", "type" : "article-journal", "volume" : "185" }, "uris" : [ "http://www.mendeley.com/documents/?uuid=49a02fb6-07e2-4861-81be-a9c62d70dcae" ] } ], "mendeley" : { "previouslyFormattedCitation" : "[Lv \u0438 \u0434\u0440., 2013]"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[Lv и др., 2013]</w:t>
      </w:r>
      <w:r w:rsidR="009D7C63" w:rsidRPr="0044196C">
        <w:rPr>
          <w:color w:val="000000" w:themeColor="text1"/>
        </w:rPr>
        <w:fldChar w:fldCharType="end"/>
      </w:r>
      <w:r w:rsidRPr="0044196C">
        <w:rPr>
          <w:color w:val="000000" w:themeColor="text1"/>
        </w:rPr>
        <w:t xml:space="preserve">. </w:t>
      </w:r>
    </w:p>
    <w:p w:rsidR="00DC25D4" w:rsidRPr="0044196C" w:rsidRDefault="003F3974" w:rsidP="003F3974">
      <w:pPr>
        <w:rPr>
          <w:color w:val="000000" w:themeColor="text1"/>
        </w:rPr>
      </w:pPr>
      <w:r w:rsidRPr="0044196C">
        <w:rPr>
          <w:color w:val="000000" w:themeColor="text1"/>
        </w:rPr>
        <w:t xml:space="preserve">Таким образом, </w:t>
      </w:r>
      <w:r w:rsidR="003A2836" w:rsidRPr="0044196C">
        <w:rPr>
          <w:color w:val="000000" w:themeColor="text1"/>
        </w:rPr>
        <w:t>у всех пациентов с ХБП не вызывает сомнения необходимость снижения АД до уровня ниже</w:t>
      </w:r>
      <w:r w:rsidR="00DC25D4" w:rsidRPr="0044196C">
        <w:rPr>
          <w:color w:val="000000" w:themeColor="text1"/>
        </w:rPr>
        <w:t xml:space="preserve"> 140/90 мм рт.ст. (за исключением части </w:t>
      </w:r>
      <w:r w:rsidRPr="0044196C">
        <w:rPr>
          <w:color w:val="000000" w:themeColor="text1"/>
        </w:rPr>
        <w:t xml:space="preserve">пожилых пациентов </w:t>
      </w:r>
      <w:r w:rsidR="00DC25D4" w:rsidRPr="0044196C">
        <w:rPr>
          <w:color w:val="000000" w:themeColor="text1"/>
        </w:rPr>
        <w:t xml:space="preserve">(см. главу </w:t>
      </w:r>
      <w:fldSimple w:instr=" REF _Ref279730366 \w \h  \* MERGEFORMAT ">
        <w:r w:rsidR="00DC25D4" w:rsidRPr="0044196C">
          <w:rPr>
            <w:color w:val="000000" w:themeColor="text1"/>
          </w:rPr>
          <w:t>11</w:t>
        </w:r>
      </w:fldSimple>
      <w:r w:rsidR="00DC25D4" w:rsidRPr="0044196C">
        <w:rPr>
          <w:color w:val="000000" w:themeColor="text1"/>
        </w:rPr>
        <w:t>))</w:t>
      </w:r>
      <w:r w:rsidRPr="0044196C">
        <w:rPr>
          <w:color w:val="000000" w:themeColor="text1"/>
        </w:rPr>
        <w:t xml:space="preserve">. </w:t>
      </w:r>
      <w:r w:rsidR="00DC25D4" w:rsidRPr="0044196C">
        <w:rPr>
          <w:color w:val="000000" w:themeColor="text1"/>
        </w:rPr>
        <w:t>У больных с высокой и очень высокой альбуминурией/протеинурией</w:t>
      </w:r>
      <w:r w:rsidR="004B4A11" w:rsidRPr="0044196C">
        <w:rPr>
          <w:color w:val="000000" w:themeColor="text1"/>
        </w:rPr>
        <w:t xml:space="preserve">, </w:t>
      </w:r>
      <w:r w:rsidR="004B4A11" w:rsidRPr="0044196C">
        <w:rPr>
          <w:color w:val="000000" w:themeColor="text1"/>
        </w:rPr>
        <w:lastRenderedPageBreak/>
        <w:t>составляющих прогностически наиболее неблагоприятную группу,представляется целесообразной, несмотря на малую доказательную базу,</w:t>
      </w:r>
      <w:r w:rsidR="00DC25D4" w:rsidRPr="0044196C">
        <w:rPr>
          <w:color w:val="000000" w:themeColor="text1"/>
        </w:rPr>
        <w:t xml:space="preserve"> попытка достижения АД ниже 130/80 мм рт.ст. при условии хорошей переносимости</w:t>
      </w:r>
      <w:r w:rsidR="004B4A11" w:rsidRPr="0044196C">
        <w:rPr>
          <w:color w:val="000000" w:themeColor="text1"/>
        </w:rPr>
        <w:t>.</w:t>
      </w:r>
    </w:p>
    <w:p w:rsidR="003F3974" w:rsidRPr="0044196C" w:rsidRDefault="003F3974" w:rsidP="003A2836">
      <w:pPr>
        <w:rPr>
          <w:color w:val="000000" w:themeColor="text1"/>
        </w:rPr>
      </w:pPr>
      <w:r w:rsidRPr="0044196C">
        <w:rPr>
          <w:color w:val="000000" w:themeColor="text1"/>
        </w:rPr>
        <w:t>Вопрос о нижнем пределе оптимальных значений АД при ХБП, крайне важный для обеспечения безопасности терапии, недостаточно отражен в современных рекомендациях</w:t>
      </w:r>
      <w:r w:rsidR="002429B4" w:rsidRPr="0044196C">
        <w:rPr>
          <w:color w:val="000000" w:themeColor="text1"/>
        </w:rPr>
        <w:t xml:space="preserve">также </w:t>
      </w:r>
      <w:r w:rsidR="003A2836" w:rsidRPr="0044196C">
        <w:rPr>
          <w:color w:val="000000" w:themeColor="text1"/>
        </w:rPr>
        <w:t>из-за малой доказательной базы</w:t>
      </w:r>
      <w:r w:rsidRPr="0044196C">
        <w:rPr>
          <w:color w:val="000000" w:themeColor="text1"/>
        </w:rPr>
        <w:t xml:space="preserve">. В рекомендациях </w:t>
      </w:r>
      <w:r w:rsidRPr="0044196C">
        <w:rPr>
          <w:color w:val="000000" w:themeColor="text1"/>
          <w:lang w:val="en-US"/>
        </w:rPr>
        <w:t>KDOQI</w:t>
      </w:r>
      <w:r w:rsidRPr="0044196C">
        <w:rPr>
          <w:color w:val="000000" w:themeColor="text1"/>
        </w:rPr>
        <w:t xml:space="preserve"> по контролю АД при ХБП</w:t>
      </w:r>
      <w:r w:rsidR="009D7C63" w:rsidRPr="0044196C">
        <w:rPr>
          <w:color w:val="000000" w:themeColor="text1"/>
        </w:rPr>
        <w:fldChar w:fldCharType="begin" w:fldLock="1"/>
      </w:r>
      <w:r w:rsidR="00EA3B99" w:rsidRPr="0044196C">
        <w:rPr>
          <w:color w:val="000000" w:themeColor="text1"/>
        </w:rPr>
        <w:instrText>ADDIN CSL_CITATION { "citationItems" : [ { "id" : "ITEM-1", "itemData" : { "author" : [ { "dropping-particle" : "", "family" : "National Kidney Foundation", "given" : "", "non-dropping-particle" : "", "parse-names" : false, "suffix" : "" } ], "container-title" : "Am J Kidney Dis", "id" : "ITEM-1", "issue" : "S1-S290", "issued" : { "date-parts" : [ [ "2004" ] ] }, "title" : "K/DOQI clinical practice guidelines on hypertension and antihypertensive agents in chronic kidney disease.", "type" : "article-journal", "volume" : "43" }, "uris" : [ "http://www.mendeley.com/documents/?uuid=25328728-7668-4a4f-82a7-76dc567a7bb5" ] } ], "mendeley" : { "previouslyFormattedCitation" : "[National Kidney Foundation, 2004]"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[National Kidney Foundation, 2004]</w:t>
      </w:r>
      <w:r w:rsidR="009D7C63" w:rsidRPr="0044196C">
        <w:rPr>
          <w:color w:val="000000" w:themeColor="text1"/>
        </w:rPr>
        <w:fldChar w:fldCharType="end"/>
      </w:r>
      <w:r w:rsidRPr="0044196C">
        <w:rPr>
          <w:color w:val="000000" w:themeColor="text1"/>
        </w:rPr>
        <w:t>обозначенанижняяграницаоптимальныхзначенийСАД – 110 ммрт.ст. на основе данных завершенного незадолго до их написания метаанализа, показавшего, чтовотношениифункциипочекнеблагоприятныцифрысистолическогоАДкаквыше 130, такиниже 110 мм</w:t>
      </w:r>
      <w:r w:rsidR="00B971C6" w:rsidRPr="0044196C">
        <w:rPr>
          <w:color w:val="000000" w:themeColor="text1"/>
        </w:rPr>
        <w:t>.</w:t>
      </w:r>
      <w:r w:rsidRPr="0044196C">
        <w:rPr>
          <w:color w:val="000000" w:themeColor="text1"/>
        </w:rPr>
        <w:t>рт.ст.</w:t>
      </w:r>
      <w:r w:rsidR="009D7C63" w:rsidRPr="0044196C">
        <w:rPr>
          <w:color w:val="000000" w:themeColor="text1"/>
        </w:rPr>
        <w:fldChar w:fldCharType="begin" w:fldLock="1"/>
      </w:r>
      <w:r w:rsidR="00EA3B99" w:rsidRPr="0044196C">
        <w:rPr>
          <w:color w:val="000000" w:themeColor="text1"/>
        </w:rPr>
        <w:instrText>ADDIN CSL_CITATION { "citationItems" : [ { "id" : "ITEM-1", "itemData" : { "author" : [ { "dropping-particle" : "", "family" : "Jafar", "given" : "TH", "non-dropping-particle" : "", "parse-names" : false, "suffix" : "" }, { "dropping-particle" : "", "family" : "Stark", "given" : "PC", "non-dropping-particle" : "", "parse-names" : false, "suffix" : "" }, { "dropping-particle" : "", "family" : "Schmid", "given" : "CH", "non-dropping-particle" : "", "parse-names" : false, "suffix" : "" }, { "dropping-particle" : "", "family" : "Landa", "given" : "M", "non-dropping-particle" : "", "parse-names" : false, "suffix" : "" } ], "container-title" : "Annals of Internal Medicine", "id" : "ITEM-1", "issued" : { "date-parts" : [ [ "2003" ] ] }, "title" : "Progression of chronic kidney disease: the role of blood pressure control, proteinuria, and angiotensin-converting enzyme inhibition: a patient-level meta-analysis", "type" : "article-journal" }, "uris" : [ "http://www.mendeley.com/documents/?uuid=0d5ba9bd-4a8d-4387-a29b-6eed0bdc7b07" ] } ], "mendeley" : { "previouslyFormattedCitation" : "[Jafar \u0438 \u0434\u0440., 2003]"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[Jafar и др., 2003]</w:t>
      </w:r>
      <w:r w:rsidR="009D7C63" w:rsidRPr="0044196C">
        <w:rPr>
          <w:color w:val="000000" w:themeColor="text1"/>
        </w:rPr>
        <w:fldChar w:fldCharType="end"/>
      </w:r>
      <w:r w:rsidRPr="0044196C">
        <w:rPr>
          <w:color w:val="000000" w:themeColor="text1"/>
        </w:rPr>
        <w:t xml:space="preserve">. При низких цифрах АД вследствие централизации кровотока развивается ишемия почек, приводящая к их повреждению. Роль гипоксии как самостоятельного фактора прогрессирования ХБП обсуждается в литературе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"10.1291/hypres.31.175", "ISSN" : "0916-9636", "PMID" : "18360035", "abstract" : "Recent studies emphasize the role of chronic hypoxia in the kidney as a final common pathway to end-stage renal failure (ESRD). Hypoxia of tubular cells leads to apoptosis or epithelial-mesenchymal transdifferentiation, which in turn exacerbates the fibrosis of the kidney with the loss of peritubular capillaries and subsequent chronic hypoxia, setting in train a vicious cycle whose end-point is ESRD. While fibrotic kidneys in an advanced stage of renal disease are devoid of peritubular capillary blood supply and oxygenation to the corresponding region, imbalances in vasoactive substances can cause chronic hypoxia even in the early phase of kidney disease. Among various vasoactive substances, local activation of the renin-angiotensin system (RAS) is particularly important because it can lead to the constriction of efferent arterioles, hypoperfusion of postglomerular peritubular capillaries, and subsequent hypoxia of the tubulointerstitium in the downstream compartment. In addition, angiotensin II induces oxidative stress via the activation of NADPH oxidase. Oxidative stress damages endothelial cells directly, causing the loss of peritubular capillaries, and also results in relative hypoxia due to inefficient cellular respiration. Thus, angiotensin II induces renal hypoxia via both hemodynamic and nonhemodynamic mechanisms. In the past two decades, considerable gains have been realized in retarding the progression of chronic kidney disease by emphasizing blood pressure control and blockade of the RAS. Chronic hypoxia in the kidney is an ideal therapeutic target, and the beneficial effects of blockade of RAS in kidney disease are, at least in part, mediated by the amelioration of local hypoxia. (Hypertens Res 2008; 31: 175-184).", "author" : [ { "dropping-particle" : "", "family" : "Nangaku", "given" : "Masaomi", "non-dropping-particle" : "", "parse-names" : false, "suffix" : "" }, { "dropping-particle" : "", "family" : "Fujita", "given" : "Toshiro", "non-dropping-particle" : "", "parse-names" : false, "suffix" : "" } ], "container-title" : "Hypertension research : official journal of the Japanese Society of Hypertension", "id" : "ITEM-1", "issue" : "2", "issued" : { "date-parts" : [ [ "2008", "2" ] ] }, "page" : "175-84", "title" : "Activation of the renin-angiotensin system and chronic hypoxia of the kidney.", "type" : "article-journal", "volume" : "31" }, "uris" : [ "http://www.mendeley.com/documents/?uuid=2ffcd0cf-572e-44c4-8628-b5fcd29a3ffa" ] }, { "id" : "ITEM-2", "itemData" : { "DOI" : "10.1038/ki.2008.350", "ISSN" : "1523-1755", "PMID" : "18633339", "abstract" : "In chronic kidney disease, functional impairment correlates with tubulointerstitial fibrosis characterised by inflammation, accumulation of extracellular matrix, tubular atrophy and rarefaction of peritubular capillaries. Loss of the microvasculature implies a hypoxic milieu and suggested an important role for hypoxia when the \"chronic hypoxia hypothesis\" was proposed a decade ago as an explanation for the progressive nature of fibrosis. Recent data in man provide evidence of decreased renal oxygenation in chronic kidney disease while more direct support for a causal role comes from data in rodent models showing that the decline in renal oxygenation precedes matrix accumulation, suggesting hypoxia may both initiate and promote the fibrotic response. Indeed, in vitro studies show that hypoxia can induce pro-fibrotic changes in tubulointerstitial cells. Additional postulated roles for hypoxia in chronic kidney disease are the sustaining of the inflammatory response, the recruitment, retention and differentiation towards a pro-fibrotic phenotype of circulating progenitor cells and the alteration of the function of intrinsic stem cell populations. Given that accumulating data suggests that chronic hypoxia is a final common pathway to end-stage renal disease, therapeutic strategies that target hypoxia may be of benefit in retarding progression. Normalisation of microvascular tone, administration of pro-angiogenic factors to restore microvasculature integrity, activation of hypoxia-inducible transcription factors and hypoxia-mediated targeting and mobilisation of progenitor cells are all potential targets for future therapy. The limited success of existing strategies in retarding chronic kidney disease mandates that these new avenues of treatment be explored.", "author" : [ { "dropping-particle" : "", "family" : "Fine", "given" : "Leon G", "non-dropping-particle" : "", "parse-names" : false, "suffix" : "" }, { "dropping-particle" : "", "family" : "Norman", "given" : "Jill T", "non-dropping-particle" : "", "parse-names" : false, "suffix" : "" } ], "container-title" : "Kidney international", "id" : "ITEM-2", "issue" : "7", "issued" : { "date-parts" : [ [ "2008", "10" ] ] }, "page" : "867-72", "title" : "Chronic hypoxia as a mechanism of progression of chronic kidney diseases: from hypothesis to novel therapeutics.", "type" : "article-journal", "volume" : "74" }, "uris" : [ "http://www.mendeley.com/documents/?uuid=bd87575e-be65-428d-867b-db0624fa7d26" ] } ], "mendeley" : { "previouslyFormattedCitation" : "[Fine, Norman, 2008; Nangaku, Fujita, 2008]"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[Fine, Norman, 2008; Nangaku, Fujita, 2008]</w:t>
      </w:r>
      <w:r w:rsidR="009D7C63" w:rsidRPr="0044196C">
        <w:rPr>
          <w:color w:val="000000" w:themeColor="text1"/>
        </w:rPr>
        <w:fldChar w:fldCharType="end"/>
      </w:r>
      <w:r w:rsidRPr="0044196C">
        <w:rPr>
          <w:color w:val="000000" w:themeColor="text1"/>
        </w:rPr>
        <w:t>, однако на сегодня, к сожалению, отсутствуют доступные и достоверные методы, позволяющие мониторировать изменения внутрипочечной гемодинамики на ф</w:t>
      </w:r>
      <w:r w:rsidR="003A2836" w:rsidRPr="0044196C">
        <w:rPr>
          <w:color w:val="000000" w:themeColor="text1"/>
        </w:rPr>
        <w:t xml:space="preserve">оне антигипертензивной терапии. </w:t>
      </w:r>
      <w:r w:rsidRPr="0044196C">
        <w:rPr>
          <w:color w:val="000000" w:themeColor="text1"/>
        </w:rPr>
        <w:t xml:space="preserve">Большое значение </w:t>
      </w:r>
      <w:r w:rsidR="003A2836" w:rsidRPr="0044196C">
        <w:rPr>
          <w:color w:val="000000" w:themeColor="text1"/>
        </w:rPr>
        <w:t>для выявления</w:t>
      </w:r>
      <w:r w:rsidRPr="0044196C">
        <w:rPr>
          <w:color w:val="000000" w:themeColor="text1"/>
        </w:rPr>
        <w:t xml:space="preserve"> нес</w:t>
      </w:r>
      <w:r w:rsidR="003A2836" w:rsidRPr="0044196C">
        <w:rPr>
          <w:color w:val="000000" w:themeColor="text1"/>
        </w:rPr>
        <w:t>табильности</w:t>
      </w:r>
      <w:r w:rsidRPr="0044196C">
        <w:rPr>
          <w:color w:val="000000" w:themeColor="text1"/>
        </w:rPr>
        <w:t xml:space="preserve"> АД</w:t>
      </w:r>
      <w:r w:rsidR="003A2836" w:rsidRPr="0044196C">
        <w:rPr>
          <w:color w:val="000000" w:themeColor="text1"/>
        </w:rPr>
        <w:t xml:space="preserve"> на фоне терапии</w:t>
      </w:r>
      <w:r w:rsidRPr="0044196C">
        <w:rPr>
          <w:color w:val="000000" w:themeColor="text1"/>
        </w:rPr>
        <w:t xml:space="preserve">, </w:t>
      </w:r>
      <w:r w:rsidR="003A2836" w:rsidRPr="0044196C">
        <w:rPr>
          <w:color w:val="000000" w:themeColor="text1"/>
        </w:rPr>
        <w:t xml:space="preserve">эпизодов гипотонии </w:t>
      </w:r>
      <w:r w:rsidRPr="0044196C">
        <w:rPr>
          <w:color w:val="000000" w:themeColor="text1"/>
        </w:rPr>
        <w:t xml:space="preserve">имеет </w:t>
      </w:r>
      <w:r w:rsidR="003A2836" w:rsidRPr="0044196C">
        <w:rPr>
          <w:color w:val="000000" w:themeColor="text1"/>
        </w:rPr>
        <w:t>СМАД,</w:t>
      </w:r>
      <w:r w:rsidRPr="0044196C">
        <w:rPr>
          <w:color w:val="000000" w:themeColor="text1"/>
        </w:rPr>
        <w:t>атакжесамоконтроль</w:t>
      </w:r>
      <w:r w:rsidR="002429B4" w:rsidRPr="0044196C">
        <w:rPr>
          <w:color w:val="000000" w:themeColor="text1"/>
        </w:rPr>
        <w:t xml:space="preserve"> (см. рекомендацию </w:t>
      </w:r>
      <w:fldSimple w:instr=" REF _Ref279576134 \n \h  \* MERGEFORMAT ">
        <w:r w:rsidR="002429B4" w:rsidRPr="0044196C">
          <w:rPr>
            <w:color w:val="000000" w:themeColor="text1"/>
          </w:rPr>
          <w:t>5.3</w:t>
        </w:r>
      </w:fldSimple>
      <w:r w:rsidR="003A2836" w:rsidRPr="0044196C">
        <w:rPr>
          <w:color w:val="000000" w:themeColor="text1"/>
        </w:rPr>
        <w:t>)</w:t>
      </w:r>
      <w:r w:rsidRPr="0044196C">
        <w:rPr>
          <w:color w:val="000000" w:themeColor="text1"/>
        </w:rPr>
        <w:t xml:space="preserve">. Стремление достичь целевого уровня АД не должно приводить к эпизодам гипотонии, чреватым не только ухудшением коронарного и церебрального кровотока, но и развитием ишемии почек. </w:t>
      </w:r>
    </w:p>
    <w:p w:rsidR="004A5A2B" w:rsidRPr="0044196C" w:rsidRDefault="004A5A2B" w:rsidP="003A2836">
      <w:pPr>
        <w:rPr>
          <w:color w:val="000000" w:themeColor="text1"/>
        </w:rPr>
      </w:pPr>
    </w:p>
    <w:p w:rsidR="00654E61" w:rsidRPr="0044196C" w:rsidRDefault="00654E61" w:rsidP="008D0B25">
      <w:pPr>
        <w:pStyle w:val="af4"/>
        <w:rPr>
          <w:color w:val="000000" w:themeColor="text1"/>
        </w:rPr>
      </w:pPr>
      <w:r w:rsidRPr="0044196C">
        <w:rPr>
          <w:color w:val="000000" w:themeColor="text1"/>
        </w:rPr>
        <w:t xml:space="preserve">Таблица </w:t>
      </w:r>
      <w:r w:rsidR="009D7C63" w:rsidRPr="0044196C">
        <w:rPr>
          <w:color w:val="000000" w:themeColor="text1"/>
        </w:rPr>
        <w:fldChar w:fldCharType="begin"/>
      </w:r>
      <w:r w:rsidR="001647A9" w:rsidRPr="0044196C">
        <w:rPr>
          <w:color w:val="000000" w:themeColor="text1"/>
        </w:rPr>
        <w:instrText xml:space="preserve"> SEQ Таблица \* ARABIC </w:instrText>
      </w:r>
      <w:r w:rsidR="009D7C63" w:rsidRPr="0044196C">
        <w:rPr>
          <w:color w:val="000000" w:themeColor="text1"/>
        </w:rPr>
        <w:fldChar w:fldCharType="separate"/>
      </w:r>
      <w:r w:rsidR="00DF40EA" w:rsidRPr="0044196C">
        <w:rPr>
          <w:noProof/>
          <w:color w:val="000000" w:themeColor="text1"/>
        </w:rPr>
        <w:t>10</w:t>
      </w:r>
      <w:r w:rsidR="009D7C63" w:rsidRPr="0044196C">
        <w:rPr>
          <w:noProof/>
          <w:color w:val="000000" w:themeColor="text1"/>
        </w:rPr>
        <w:fldChar w:fldCharType="end"/>
      </w:r>
    </w:p>
    <w:p w:rsidR="00BD1C01" w:rsidRPr="0044196C" w:rsidRDefault="00654E61" w:rsidP="008D0B25">
      <w:pPr>
        <w:pStyle w:val="af4"/>
        <w:rPr>
          <w:color w:val="000000" w:themeColor="text1"/>
        </w:rPr>
      </w:pPr>
      <w:r w:rsidRPr="0044196C">
        <w:rPr>
          <w:color w:val="000000" w:themeColor="text1"/>
        </w:rPr>
        <w:t>Целевой уровень АД при ХБП</w:t>
      </w:r>
    </w:p>
    <w:tbl>
      <w:tblPr>
        <w:tblW w:w="5000" w:type="pct"/>
        <w:tblCellMar>
          <w:left w:w="0" w:type="dxa"/>
          <w:right w:w="0" w:type="dxa"/>
        </w:tblCellMar>
        <w:tblLook w:val="0420"/>
      </w:tblPr>
      <w:tblGrid>
        <w:gridCol w:w="2412"/>
        <w:gridCol w:w="2695"/>
        <w:gridCol w:w="1670"/>
        <w:gridCol w:w="2866"/>
      </w:tblGrid>
      <w:tr w:rsidR="00654E61" w:rsidRPr="0044196C" w:rsidTr="002429B4">
        <w:trPr>
          <w:trHeight w:val="20"/>
        </w:trPr>
        <w:tc>
          <w:tcPr>
            <w:tcW w:w="1250" w:type="pct"/>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72" w:type="dxa"/>
              <w:left w:w="144" w:type="dxa"/>
              <w:bottom w:w="72" w:type="dxa"/>
              <w:right w:w="144" w:type="dxa"/>
            </w:tcMar>
            <w:vAlign w:val="center"/>
            <w:hideMark/>
          </w:tcPr>
          <w:p w:rsidR="00654E61" w:rsidRPr="0044196C" w:rsidRDefault="00654E61" w:rsidP="008D0B25">
            <w:pPr>
              <w:keepNext/>
              <w:keepLines/>
              <w:spacing w:before="0" w:line="240" w:lineRule="auto"/>
              <w:ind w:firstLine="0"/>
              <w:jc w:val="center"/>
              <w:rPr>
                <w:rFonts w:ascii="Arial" w:eastAsia="Times New Roman" w:hAnsi="Arial" w:cs="Arial"/>
                <w:color w:val="000000" w:themeColor="text1"/>
                <w:szCs w:val="36"/>
              </w:rPr>
            </w:pPr>
          </w:p>
        </w:tc>
        <w:tc>
          <w:tcPr>
            <w:tcW w:w="1397" w:type="pct"/>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72" w:type="dxa"/>
              <w:left w:w="144" w:type="dxa"/>
              <w:bottom w:w="72" w:type="dxa"/>
              <w:right w:w="144" w:type="dxa"/>
            </w:tcMar>
            <w:vAlign w:val="center"/>
            <w:hideMark/>
          </w:tcPr>
          <w:p w:rsidR="00654E61" w:rsidRPr="0044196C" w:rsidRDefault="00654E61" w:rsidP="008D0B25">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
                <w:bCs/>
                <w:color w:val="000000" w:themeColor="text1"/>
                <w:kern w:val="24"/>
                <w:szCs w:val="48"/>
              </w:rPr>
              <w:t>Альбуминурия</w:t>
            </w:r>
            <w:r w:rsidR="0037258D" w:rsidRPr="0044196C">
              <w:rPr>
                <w:rFonts w:ascii="Calibri" w:eastAsia="Times New Roman" w:hAnsi="Calibri" w:cs="Arial"/>
                <w:b/>
                <w:bCs/>
                <w:color w:val="000000" w:themeColor="text1"/>
                <w:kern w:val="24"/>
                <w:szCs w:val="48"/>
              </w:rPr>
              <w:t>,мг/сут (категория)</w:t>
            </w:r>
          </w:p>
        </w:tc>
        <w:tc>
          <w:tcPr>
            <w:tcW w:w="866" w:type="pct"/>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72" w:type="dxa"/>
              <w:left w:w="144" w:type="dxa"/>
              <w:bottom w:w="72" w:type="dxa"/>
              <w:right w:w="144" w:type="dxa"/>
            </w:tcMar>
            <w:vAlign w:val="center"/>
            <w:hideMark/>
          </w:tcPr>
          <w:p w:rsidR="00654E61" w:rsidRPr="0044196C" w:rsidRDefault="00654E61" w:rsidP="008D0B25">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
                <w:bCs/>
                <w:color w:val="000000" w:themeColor="text1"/>
                <w:kern w:val="24"/>
                <w:szCs w:val="48"/>
              </w:rPr>
              <w:t>Целевое АД</w:t>
            </w:r>
          </w:p>
        </w:tc>
        <w:tc>
          <w:tcPr>
            <w:tcW w:w="1486" w:type="pct"/>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72" w:type="dxa"/>
              <w:left w:w="144" w:type="dxa"/>
              <w:bottom w:w="72" w:type="dxa"/>
              <w:right w:w="144" w:type="dxa"/>
            </w:tcMar>
            <w:vAlign w:val="center"/>
            <w:hideMark/>
          </w:tcPr>
          <w:p w:rsidR="00654E61" w:rsidRPr="0044196C" w:rsidRDefault="00654E61" w:rsidP="008D0B25">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
                <w:bCs/>
                <w:color w:val="000000" w:themeColor="text1"/>
                <w:kern w:val="24"/>
                <w:szCs w:val="48"/>
              </w:rPr>
              <w:t>Сила и доказательность рекомендации</w:t>
            </w:r>
          </w:p>
        </w:tc>
      </w:tr>
      <w:tr w:rsidR="002127A4" w:rsidRPr="0044196C" w:rsidTr="002429B4">
        <w:trPr>
          <w:trHeight w:val="20"/>
        </w:trPr>
        <w:tc>
          <w:tcPr>
            <w:tcW w:w="1250" w:type="pct"/>
            <w:vMerge w:val="restart"/>
            <w:tcBorders>
              <w:top w:val="single" w:sz="8" w:space="0" w:color="FFFFFF"/>
              <w:left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rsidR="002127A4" w:rsidRPr="0044196C" w:rsidRDefault="002127A4" w:rsidP="002127A4">
            <w:pPr>
              <w:keepNext/>
              <w:keepLines/>
              <w:spacing w:before="0" w:line="240" w:lineRule="auto"/>
              <w:ind w:firstLine="0"/>
              <w:jc w:val="center"/>
              <w:rPr>
                <w:rFonts w:ascii="Arial" w:eastAsia="Times New Roman" w:hAnsi="Arial" w:cs="Arial"/>
                <w:b/>
                <w:color w:val="000000" w:themeColor="text1"/>
                <w:szCs w:val="36"/>
              </w:rPr>
            </w:pPr>
            <w:r w:rsidRPr="0044196C">
              <w:rPr>
                <w:rFonts w:ascii="Calibri" w:eastAsia="Times New Roman" w:hAnsi="Calibri" w:cs="Arial"/>
                <w:b/>
                <w:bCs/>
                <w:color w:val="000000" w:themeColor="text1"/>
                <w:kern w:val="24"/>
                <w:szCs w:val="48"/>
              </w:rPr>
              <w:t>ХБП 1-5 без СД</w:t>
            </w:r>
          </w:p>
        </w:tc>
        <w:tc>
          <w:tcPr>
            <w:tcW w:w="1397"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47532B">
            <w:pPr>
              <w:keepNext/>
              <w:keepLines/>
              <w:tabs>
                <w:tab w:val="left" w:pos="1134"/>
              </w:tabs>
              <w:spacing w:before="0" w:line="240" w:lineRule="auto"/>
              <w:ind w:firstLine="142"/>
              <w:jc w:val="left"/>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rPr>
              <w:t>&lt;30</w:t>
            </w:r>
            <w:r w:rsidRPr="0044196C">
              <w:rPr>
                <w:rFonts w:ascii="Calibri" w:eastAsia="Times New Roman" w:hAnsi="Calibri" w:cs="Arial"/>
                <w:bCs/>
                <w:color w:val="000000" w:themeColor="text1"/>
                <w:kern w:val="24"/>
                <w:szCs w:val="48"/>
              </w:rPr>
              <w:tab/>
              <w:t>(А1)</w:t>
            </w:r>
          </w:p>
        </w:tc>
        <w:tc>
          <w:tcPr>
            <w:tcW w:w="866"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3208A8" w:rsidP="0047532B">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lang w:val="en-US"/>
              </w:rPr>
              <w:t>&lt;</w:t>
            </w:r>
            <w:r w:rsidR="002127A4" w:rsidRPr="0044196C">
              <w:rPr>
                <w:rFonts w:ascii="Calibri" w:eastAsia="Times New Roman" w:hAnsi="Calibri" w:cs="Arial"/>
                <w:bCs/>
                <w:color w:val="000000" w:themeColor="text1"/>
                <w:kern w:val="24"/>
                <w:szCs w:val="48"/>
              </w:rPr>
              <w:t xml:space="preserve"> 140/90</w:t>
            </w:r>
          </w:p>
        </w:tc>
        <w:tc>
          <w:tcPr>
            <w:tcW w:w="1486"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47532B">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rPr>
              <w:t>1</w:t>
            </w:r>
            <w:r w:rsidRPr="0044196C">
              <w:rPr>
                <w:rFonts w:ascii="Calibri" w:eastAsia="Times New Roman" w:hAnsi="Calibri" w:cs="Arial"/>
                <w:bCs/>
                <w:color w:val="000000" w:themeColor="text1"/>
                <w:kern w:val="24"/>
                <w:szCs w:val="48"/>
                <w:lang w:val="en-US"/>
              </w:rPr>
              <w:t>B</w:t>
            </w:r>
          </w:p>
        </w:tc>
      </w:tr>
      <w:tr w:rsidR="002127A4" w:rsidRPr="0044196C" w:rsidTr="002429B4">
        <w:trPr>
          <w:trHeight w:val="20"/>
        </w:trPr>
        <w:tc>
          <w:tcPr>
            <w:tcW w:w="1250" w:type="pct"/>
            <w:vMerge/>
            <w:tcBorders>
              <w:left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rsidR="002127A4" w:rsidRPr="0044196C" w:rsidRDefault="002127A4" w:rsidP="002127A4">
            <w:pPr>
              <w:keepNext/>
              <w:keepLines/>
              <w:spacing w:before="0" w:line="240" w:lineRule="auto"/>
              <w:ind w:firstLine="0"/>
              <w:jc w:val="center"/>
              <w:rPr>
                <w:rFonts w:ascii="Arial" w:eastAsia="Times New Roman" w:hAnsi="Arial" w:cs="Arial"/>
                <w:b/>
                <w:color w:val="000000" w:themeColor="text1"/>
                <w:szCs w:val="36"/>
              </w:rPr>
            </w:pPr>
          </w:p>
        </w:tc>
        <w:tc>
          <w:tcPr>
            <w:tcW w:w="1397"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47532B">
            <w:pPr>
              <w:keepNext/>
              <w:keepLines/>
              <w:tabs>
                <w:tab w:val="left" w:pos="1134"/>
              </w:tabs>
              <w:spacing w:before="0" w:line="240" w:lineRule="auto"/>
              <w:ind w:firstLine="142"/>
              <w:jc w:val="left"/>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rPr>
              <w:t xml:space="preserve">30-300 </w:t>
            </w:r>
            <w:r w:rsidRPr="0044196C">
              <w:rPr>
                <w:rFonts w:ascii="Calibri" w:eastAsia="Times New Roman" w:hAnsi="Calibri" w:cs="Arial"/>
                <w:bCs/>
                <w:color w:val="000000" w:themeColor="text1"/>
                <w:kern w:val="24"/>
                <w:szCs w:val="48"/>
              </w:rPr>
              <w:tab/>
              <w:t>(А2)</w:t>
            </w:r>
          </w:p>
        </w:tc>
        <w:tc>
          <w:tcPr>
            <w:tcW w:w="866"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3208A8" w:rsidP="0047532B">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lang w:val="en-US"/>
              </w:rPr>
              <w:t>&lt;</w:t>
            </w:r>
            <w:r w:rsidR="002127A4" w:rsidRPr="0044196C">
              <w:rPr>
                <w:rFonts w:ascii="Calibri" w:eastAsia="Times New Roman" w:hAnsi="Calibri" w:cs="Arial"/>
                <w:bCs/>
                <w:color w:val="000000" w:themeColor="text1"/>
                <w:kern w:val="24"/>
                <w:szCs w:val="48"/>
              </w:rPr>
              <w:t xml:space="preserve"> 130/80</w:t>
            </w:r>
          </w:p>
        </w:tc>
        <w:tc>
          <w:tcPr>
            <w:tcW w:w="1486"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47532B">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rPr>
              <w:t>2</w:t>
            </w:r>
            <w:r w:rsidRPr="0044196C">
              <w:rPr>
                <w:rFonts w:ascii="Calibri" w:eastAsia="Times New Roman" w:hAnsi="Calibri" w:cs="Arial"/>
                <w:bCs/>
                <w:color w:val="000000" w:themeColor="text1"/>
                <w:kern w:val="24"/>
                <w:szCs w:val="48"/>
                <w:lang w:val="en-US"/>
              </w:rPr>
              <w:t>D</w:t>
            </w:r>
          </w:p>
        </w:tc>
      </w:tr>
      <w:tr w:rsidR="002127A4" w:rsidRPr="0044196C" w:rsidTr="002429B4">
        <w:trPr>
          <w:trHeight w:val="20"/>
        </w:trPr>
        <w:tc>
          <w:tcPr>
            <w:tcW w:w="1250" w:type="pct"/>
            <w:vMerge/>
            <w:tcBorders>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vAlign w:val="center"/>
          </w:tcPr>
          <w:p w:rsidR="002127A4" w:rsidRPr="0044196C" w:rsidRDefault="002127A4" w:rsidP="002127A4">
            <w:pPr>
              <w:keepNext/>
              <w:keepLines/>
              <w:spacing w:before="0" w:line="240" w:lineRule="auto"/>
              <w:ind w:firstLine="0"/>
              <w:jc w:val="center"/>
              <w:rPr>
                <w:rFonts w:ascii="Arial" w:eastAsia="Times New Roman" w:hAnsi="Arial" w:cs="Arial"/>
                <w:b/>
                <w:color w:val="000000" w:themeColor="text1"/>
                <w:szCs w:val="36"/>
              </w:rPr>
            </w:pPr>
          </w:p>
        </w:tc>
        <w:tc>
          <w:tcPr>
            <w:tcW w:w="1397"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47532B">
            <w:pPr>
              <w:keepNext/>
              <w:keepLines/>
              <w:tabs>
                <w:tab w:val="left" w:pos="1134"/>
              </w:tabs>
              <w:spacing w:before="0" w:line="240" w:lineRule="auto"/>
              <w:ind w:firstLine="142"/>
              <w:jc w:val="left"/>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rPr>
              <w:t xml:space="preserve">&gt;300 </w:t>
            </w:r>
            <w:r w:rsidRPr="0044196C">
              <w:rPr>
                <w:rFonts w:ascii="Calibri" w:eastAsia="Times New Roman" w:hAnsi="Calibri" w:cs="Arial"/>
                <w:bCs/>
                <w:color w:val="000000" w:themeColor="text1"/>
                <w:kern w:val="24"/>
                <w:szCs w:val="48"/>
              </w:rPr>
              <w:tab/>
              <w:t>(А3)</w:t>
            </w:r>
          </w:p>
        </w:tc>
        <w:tc>
          <w:tcPr>
            <w:tcW w:w="866"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3208A8" w:rsidP="0047532B">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lang w:val="en-US"/>
              </w:rPr>
              <w:t>&lt;</w:t>
            </w:r>
            <w:r w:rsidR="002127A4" w:rsidRPr="0044196C">
              <w:rPr>
                <w:rFonts w:ascii="Calibri" w:eastAsia="Times New Roman" w:hAnsi="Calibri" w:cs="Arial"/>
                <w:bCs/>
                <w:color w:val="000000" w:themeColor="text1"/>
                <w:kern w:val="24"/>
                <w:szCs w:val="48"/>
              </w:rPr>
              <w:t xml:space="preserve"> 130/80</w:t>
            </w:r>
          </w:p>
        </w:tc>
        <w:tc>
          <w:tcPr>
            <w:tcW w:w="1486"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47532B">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rPr>
              <w:t>2</w:t>
            </w:r>
            <w:r w:rsidRPr="0044196C">
              <w:rPr>
                <w:rFonts w:ascii="Calibri" w:eastAsia="Times New Roman" w:hAnsi="Calibri" w:cs="Arial"/>
                <w:bCs/>
                <w:color w:val="000000" w:themeColor="text1"/>
                <w:kern w:val="24"/>
                <w:szCs w:val="48"/>
                <w:lang w:val="en-US"/>
              </w:rPr>
              <w:t>C</w:t>
            </w:r>
          </w:p>
        </w:tc>
      </w:tr>
      <w:tr w:rsidR="002127A4" w:rsidRPr="0044196C" w:rsidTr="002429B4">
        <w:trPr>
          <w:trHeight w:val="20"/>
        </w:trPr>
        <w:tc>
          <w:tcPr>
            <w:tcW w:w="1250" w:type="pct"/>
            <w:vMerge w:val="restart"/>
            <w:tcBorders>
              <w:top w:val="single" w:sz="8" w:space="0" w:color="FFFFFF"/>
              <w:left w:val="single" w:sz="8" w:space="0" w:color="FFFFFF"/>
              <w:right w:val="single" w:sz="8" w:space="0" w:color="FFFFFF"/>
            </w:tcBorders>
            <w:shd w:val="clear" w:color="auto" w:fill="B8CCE4" w:themeFill="accent1" w:themeFillTint="66"/>
            <w:tcMar>
              <w:top w:w="72" w:type="dxa"/>
              <w:left w:w="144" w:type="dxa"/>
              <w:bottom w:w="72" w:type="dxa"/>
              <w:right w:w="144" w:type="dxa"/>
            </w:tcMar>
            <w:vAlign w:val="center"/>
            <w:hideMark/>
          </w:tcPr>
          <w:p w:rsidR="002127A4" w:rsidRPr="0044196C" w:rsidRDefault="002127A4" w:rsidP="002127A4">
            <w:pPr>
              <w:keepNext/>
              <w:keepLines/>
              <w:spacing w:before="0" w:line="240" w:lineRule="auto"/>
              <w:ind w:firstLine="0"/>
              <w:jc w:val="center"/>
              <w:rPr>
                <w:rFonts w:ascii="Arial" w:eastAsia="Times New Roman" w:hAnsi="Arial" w:cs="Arial"/>
                <w:b/>
                <w:color w:val="000000" w:themeColor="text1"/>
                <w:szCs w:val="36"/>
              </w:rPr>
            </w:pPr>
            <w:r w:rsidRPr="0044196C">
              <w:rPr>
                <w:rFonts w:ascii="Calibri" w:eastAsia="Times New Roman" w:hAnsi="Calibri" w:cs="Arial"/>
                <w:b/>
                <w:bCs/>
                <w:color w:val="000000" w:themeColor="text1"/>
                <w:kern w:val="24"/>
                <w:szCs w:val="48"/>
              </w:rPr>
              <w:t>ХБП 1-5 с СД</w:t>
            </w:r>
          </w:p>
        </w:tc>
        <w:tc>
          <w:tcPr>
            <w:tcW w:w="1397" w:type="pct"/>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2127A4" w:rsidRPr="0044196C" w:rsidRDefault="002127A4" w:rsidP="008D0B25">
            <w:pPr>
              <w:keepNext/>
              <w:keepLines/>
              <w:tabs>
                <w:tab w:val="left" w:pos="1134"/>
              </w:tabs>
              <w:spacing w:before="0" w:line="240" w:lineRule="auto"/>
              <w:ind w:firstLine="142"/>
              <w:jc w:val="left"/>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rPr>
              <w:t>&lt;30</w:t>
            </w:r>
            <w:r w:rsidRPr="0044196C">
              <w:rPr>
                <w:rFonts w:ascii="Calibri" w:eastAsia="Times New Roman" w:hAnsi="Calibri" w:cs="Arial"/>
                <w:bCs/>
                <w:color w:val="000000" w:themeColor="text1"/>
                <w:kern w:val="24"/>
                <w:szCs w:val="48"/>
              </w:rPr>
              <w:tab/>
              <w:t>(А1)</w:t>
            </w:r>
          </w:p>
        </w:tc>
        <w:tc>
          <w:tcPr>
            <w:tcW w:w="866" w:type="pct"/>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2127A4" w:rsidRPr="0044196C" w:rsidRDefault="003208A8" w:rsidP="00BA5C55">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lang w:val="en-US"/>
              </w:rPr>
              <w:t>&lt;</w:t>
            </w:r>
            <w:r w:rsidR="002127A4" w:rsidRPr="0044196C">
              <w:rPr>
                <w:rFonts w:ascii="Calibri" w:eastAsia="Times New Roman" w:hAnsi="Calibri" w:cs="Arial"/>
                <w:bCs/>
                <w:color w:val="000000" w:themeColor="text1"/>
                <w:kern w:val="24"/>
                <w:szCs w:val="48"/>
              </w:rPr>
              <w:t xml:space="preserve"> 140/</w:t>
            </w:r>
            <w:r w:rsidR="002A058A" w:rsidRPr="0044196C">
              <w:rPr>
                <w:rFonts w:ascii="Calibri" w:eastAsia="Times New Roman" w:hAnsi="Calibri" w:cs="Arial"/>
                <w:bCs/>
                <w:color w:val="000000" w:themeColor="text1"/>
                <w:kern w:val="24"/>
                <w:szCs w:val="48"/>
              </w:rPr>
              <w:t>8</w:t>
            </w:r>
            <w:r w:rsidR="00BA5C55" w:rsidRPr="0044196C">
              <w:rPr>
                <w:rFonts w:ascii="Calibri" w:eastAsia="Times New Roman" w:hAnsi="Calibri" w:cs="Arial"/>
                <w:bCs/>
                <w:color w:val="000000" w:themeColor="text1"/>
                <w:kern w:val="24"/>
                <w:szCs w:val="48"/>
              </w:rPr>
              <w:t>5</w:t>
            </w:r>
          </w:p>
        </w:tc>
        <w:tc>
          <w:tcPr>
            <w:tcW w:w="1486" w:type="pct"/>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2127A4" w:rsidRPr="0044196C" w:rsidRDefault="002127A4" w:rsidP="008D0B25">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rPr>
              <w:t>1</w:t>
            </w:r>
            <w:r w:rsidRPr="0044196C">
              <w:rPr>
                <w:rFonts w:ascii="Calibri" w:eastAsia="Times New Roman" w:hAnsi="Calibri" w:cs="Arial"/>
                <w:bCs/>
                <w:color w:val="000000" w:themeColor="text1"/>
                <w:kern w:val="24"/>
                <w:szCs w:val="48"/>
                <w:lang w:val="en-US"/>
              </w:rPr>
              <w:t>B</w:t>
            </w:r>
          </w:p>
        </w:tc>
      </w:tr>
      <w:tr w:rsidR="002127A4" w:rsidRPr="0044196C" w:rsidTr="002429B4">
        <w:trPr>
          <w:trHeight w:val="20"/>
        </w:trPr>
        <w:tc>
          <w:tcPr>
            <w:tcW w:w="1250" w:type="pct"/>
            <w:vMerge/>
            <w:tcBorders>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2127A4" w:rsidRPr="0044196C" w:rsidRDefault="002127A4" w:rsidP="008D0B25">
            <w:pPr>
              <w:keepNext/>
              <w:keepLines/>
              <w:spacing w:before="0" w:line="240" w:lineRule="auto"/>
              <w:ind w:firstLine="0"/>
              <w:jc w:val="left"/>
              <w:rPr>
                <w:rFonts w:ascii="Arial" w:eastAsia="Times New Roman" w:hAnsi="Arial" w:cs="Arial"/>
                <w:b/>
                <w:color w:val="000000" w:themeColor="text1"/>
                <w:szCs w:val="36"/>
              </w:rPr>
            </w:pPr>
          </w:p>
        </w:tc>
        <w:tc>
          <w:tcPr>
            <w:tcW w:w="1397" w:type="pct"/>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2127A4" w:rsidRPr="0044196C" w:rsidRDefault="002A058A" w:rsidP="008D0B25">
            <w:pPr>
              <w:keepNext/>
              <w:keepLines/>
              <w:tabs>
                <w:tab w:val="left" w:pos="1134"/>
              </w:tabs>
              <w:spacing w:before="0" w:line="240" w:lineRule="auto"/>
              <w:ind w:firstLine="142"/>
              <w:jc w:val="left"/>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rPr>
              <w:t>≥</w:t>
            </w:r>
            <w:r w:rsidR="002127A4" w:rsidRPr="0044196C">
              <w:rPr>
                <w:rFonts w:ascii="Calibri" w:eastAsia="Times New Roman" w:hAnsi="Calibri" w:cs="Arial"/>
                <w:bCs/>
                <w:color w:val="000000" w:themeColor="text1"/>
                <w:kern w:val="24"/>
                <w:szCs w:val="48"/>
              </w:rPr>
              <w:t xml:space="preserve">30 </w:t>
            </w:r>
            <w:r w:rsidR="002127A4" w:rsidRPr="0044196C">
              <w:rPr>
                <w:rFonts w:ascii="Calibri" w:eastAsia="Times New Roman" w:hAnsi="Calibri" w:cs="Arial"/>
                <w:bCs/>
                <w:color w:val="000000" w:themeColor="text1"/>
                <w:kern w:val="24"/>
                <w:szCs w:val="48"/>
              </w:rPr>
              <w:tab/>
              <w:t>(А2-А3)</w:t>
            </w:r>
          </w:p>
        </w:tc>
        <w:tc>
          <w:tcPr>
            <w:tcW w:w="866" w:type="pct"/>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2127A4" w:rsidRPr="0044196C" w:rsidRDefault="003208A8" w:rsidP="008D0B25">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lang w:val="en-US"/>
              </w:rPr>
              <w:t>&lt;</w:t>
            </w:r>
            <w:r w:rsidR="002127A4" w:rsidRPr="0044196C">
              <w:rPr>
                <w:rFonts w:ascii="Calibri" w:eastAsia="Times New Roman" w:hAnsi="Calibri" w:cs="Arial"/>
                <w:bCs/>
                <w:color w:val="000000" w:themeColor="text1"/>
                <w:kern w:val="24"/>
                <w:szCs w:val="48"/>
              </w:rPr>
              <w:t xml:space="preserve"> 130/80</w:t>
            </w:r>
          </w:p>
        </w:tc>
        <w:tc>
          <w:tcPr>
            <w:tcW w:w="1486" w:type="pct"/>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2127A4" w:rsidRPr="0044196C" w:rsidRDefault="002127A4" w:rsidP="008D0B25">
            <w:pPr>
              <w:keepNext/>
              <w:keepLines/>
              <w:spacing w:before="0" w:line="240" w:lineRule="auto"/>
              <w:ind w:firstLine="0"/>
              <w:jc w:val="center"/>
              <w:rPr>
                <w:rFonts w:ascii="Arial" w:eastAsia="Times New Roman" w:hAnsi="Arial" w:cs="Arial"/>
                <w:color w:val="000000" w:themeColor="text1"/>
                <w:szCs w:val="36"/>
              </w:rPr>
            </w:pPr>
            <w:r w:rsidRPr="0044196C">
              <w:rPr>
                <w:rFonts w:ascii="Calibri" w:eastAsia="Times New Roman" w:hAnsi="Calibri" w:cs="Arial"/>
                <w:bCs/>
                <w:color w:val="000000" w:themeColor="text1"/>
                <w:kern w:val="24"/>
                <w:szCs w:val="48"/>
              </w:rPr>
              <w:t>2</w:t>
            </w:r>
            <w:r w:rsidRPr="0044196C">
              <w:rPr>
                <w:rFonts w:ascii="Calibri" w:eastAsia="Times New Roman" w:hAnsi="Calibri" w:cs="Arial"/>
                <w:bCs/>
                <w:color w:val="000000" w:themeColor="text1"/>
                <w:kern w:val="24"/>
                <w:szCs w:val="48"/>
                <w:lang w:val="en-US"/>
              </w:rPr>
              <w:t>D</w:t>
            </w:r>
          </w:p>
        </w:tc>
      </w:tr>
      <w:tr w:rsidR="002127A4" w:rsidRPr="0044196C" w:rsidTr="002429B4">
        <w:trPr>
          <w:trHeight w:val="20"/>
        </w:trPr>
        <w:tc>
          <w:tcPr>
            <w:tcW w:w="1250"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8D0B25">
            <w:pPr>
              <w:keepNext/>
              <w:keepLines/>
              <w:spacing w:before="0" w:line="240" w:lineRule="auto"/>
              <w:ind w:firstLine="0"/>
              <w:jc w:val="left"/>
              <w:rPr>
                <w:rFonts w:ascii="Calibri" w:eastAsia="Times New Roman" w:hAnsi="Calibri" w:cs="Arial"/>
                <w:b/>
                <w:bCs/>
                <w:color w:val="000000" w:themeColor="text1"/>
                <w:kern w:val="24"/>
                <w:szCs w:val="48"/>
              </w:rPr>
            </w:pPr>
            <w:r w:rsidRPr="0044196C">
              <w:rPr>
                <w:rFonts w:ascii="Calibri" w:eastAsia="Times New Roman" w:hAnsi="Calibri" w:cs="Arial"/>
                <w:b/>
                <w:bCs/>
                <w:color w:val="000000" w:themeColor="text1"/>
                <w:kern w:val="24"/>
                <w:szCs w:val="48"/>
              </w:rPr>
              <w:t>ХБП 5Д</w:t>
            </w:r>
          </w:p>
        </w:tc>
        <w:tc>
          <w:tcPr>
            <w:tcW w:w="1397"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8D0B25">
            <w:pPr>
              <w:keepNext/>
              <w:keepLines/>
              <w:tabs>
                <w:tab w:val="left" w:pos="1134"/>
              </w:tabs>
              <w:spacing w:before="0" w:line="240" w:lineRule="auto"/>
              <w:ind w:firstLine="0"/>
              <w:jc w:val="center"/>
              <w:rPr>
                <w:rFonts w:ascii="Calibri" w:eastAsia="Times New Roman" w:hAnsi="Calibri" w:cs="Arial"/>
                <w:bCs/>
                <w:color w:val="000000" w:themeColor="text1"/>
                <w:kern w:val="24"/>
                <w:szCs w:val="48"/>
              </w:rPr>
            </w:pPr>
          </w:p>
        </w:tc>
        <w:tc>
          <w:tcPr>
            <w:tcW w:w="866"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3208A8" w:rsidP="008D0B25">
            <w:pPr>
              <w:keepNext/>
              <w:keepLines/>
              <w:spacing w:before="0" w:line="240" w:lineRule="auto"/>
              <w:ind w:firstLine="0"/>
              <w:jc w:val="center"/>
              <w:rPr>
                <w:rFonts w:ascii="Calibri" w:eastAsia="Times New Roman" w:hAnsi="Calibri" w:cs="Arial"/>
                <w:bCs/>
                <w:color w:val="000000" w:themeColor="text1"/>
                <w:kern w:val="24"/>
                <w:szCs w:val="48"/>
              </w:rPr>
            </w:pPr>
            <w:r w:rsidRPr="0044196C">
              <w:rPr>
                <w:rFonts w:ascii="Calibri" w:eastAsia="Times New Roman" w:hAnsi="Calibri" w:cs="Arial"/>
                <w:bCs/>
                <w:color w:val="000000" w:themeColor="text1"/>
                <w:kern w:val="24"/>
                <w:szCs w:val="48"/>
                <w:lang w:val="en-US"/>
              </w:rPr>
              <w:t>&lt;</w:t>
            </w:r>
            <w:r w:rsidR="002127A4" w:rsidRPr="0044196C">
              <w:rPr>
                <w:rFonts w:ascii="Calibri" w:eastAsia="Times New Roman" w:hAnsi="Calibri" w:cs="Arial"/>
                <w:bCs/>
                <w:color w:val="000000" w:themeColor="text1"/>
                <w:kern w:val="24"/>
                <w:szCs w:val="48"/>
              </w:rPr>
              <w:t xml:space="preserve"> 130/80</w:t>
            </w:r>
          </w:p>
        </w:tc>
        <w:tc>
          <w:tcPr>
            <w:tcW w:w="1486"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8D0B25">
            <w:pPr>
              <w:keepNext/>
              <w:keepLines/>
              <w:spacing w:before="0" w:line="240" w:lineRule="auto"/>
              <w:ind w:firstLine="0"/>
              <w:jc w:val="center"/>
              <w:rPr>
                <w:rFonts w:ascii="Calibri" w:eastAsia="Times New Roman" w:hAnsi="Calibri" w:cs="Arial"/>
                <w:bCs/>
                <w:color w:val="000000" w:themeColor="text1"/>
                <w:kern w:val="24"/>
                <w:szCs w:val="48"/>
              </w:rPr>
            </w:pPr>
            <w:r w:rsidRPr="0044196C">
              <w:rPr>
                <w:rFonts w:ascii="Calibri" w:eastAsia="Times New Roman" w:hAnsi="Calibri" w:cs="Arial"/>
                <w:bCs/>
                <w:color w:val="000000" w:themeColor="text1"/>
                <w:kern w:val="24"/>
                <w:szCs w:val="48"/>
              </w:rPr>
              <w:t>2D</w:t>
            </w:r>
          </w:p>
        </w:tc>
      </w:tr>
      <w:tr w:rsidR="002127A4" w:rsidRPr="0044196C" w:rsidTr="002429B4">
        <w:trPr>
          <w:trHeight w:val="20"/>
        </w:trPr>
        <w:tc>
          <w:tcPr>
            <w:tcW w:w="1250"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8D0B25">
            <w:pPr>
              <w:keepNext/>
              <w:keepLines/>
              <w:spacing w:before="0" w:line="240" w:lineRule="auto"/>
              <w:ind w:firstLine="0"/>
              <w:jc w:val="left"/>
              <w:rPr>
                <w:rFonts w:ascii="Calibri" w:eastAsia="Times New Roman" w:hAnsi="Calibri" w:cs="Arial"/>
                <w:b/>
                <w:bCs/>
                <w:color w:val="000000" w:themeColor="text1"/>
                <w:kern w:val="24"/>
                <w:szCs w:val="48"/>
              </w:rPr>
            </w:pPr>
            <w:r w:rsidRPr="0044196C">
              <w:rPr>
                <w:rFonts w:ascii="Calibri" w:eastAsia="Times New Roman" w:hAnsi="Calibri" w:cs="Arial"/>
                <w:b/>
                <w:bCs/>
                <w:color w:val="000000" w:themeColor="text1"/>
                <w:kern w:val="24"/>
                <w:szCs w:val="48"/>
              </w:rPr>
              <w:t>ХБП Т</w:t>
            </w:r>
          </w:p>
        </w:tc>
        <w:tc>
          <w:tcPr>
            <w:tcW w:w="1397"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8D0B25">
            <w:pPr>
              <w:keepNext/>
              <w:keepLines/>
              <w:tabs>
                <w:tab w:val="left" w:pos="1134"/>
              </w:tabs>
              <w:spacing w:before="0" w:line="240" w:lineRule="auto"/>
              <w:ind w:firstLine="0"/>
              <w:jc w:val="center"/>
              <w:rPr>
                <w:rFonts w:ascii="Arial" w:eastAsia="Times New Roman" w:hAnsi="Arial" w:cs="Arial"/>
                <w:color w:val="000000" w:themeColor="text1"/>
                <w:szCs w:val="36"/>
              </w:rPr>
            </w:pPr>
          </w:p>
        </w:tc>
        <w:tc>
          <w:tcPr>
            <w:tcW w:w="866"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3208A8" w:rsidP="008D0B25">
            <w:pPr>
              <w:keepNext/>
              <w:keepLines/>
              <w:spacing w:before="0" w:line="240" w:lineRule="auto"/>
              <w:ind w:firstLine="0"/>
              <w:jc w:val="center"/>
              <w:rPr>
                <w:rFonts w:ascii="Calibri" w:eastAsia="Times New Roman" w:hAnsi="Calibri" w:cs="Arial"/>
                <w:bCs/>
                <w:color w:val="000000" w:themeColor="text1"/>
                <w:kern w:val="24"/>
                <w:szCs w:val="48"/>
              </w:rPr>
            </w:pPr>
            <w:r w:rsidRPr="0044196C">
              <w:rPr>
                <w:rFonts w:ascii="Calibri" w:eastAsia="Times New Roman" w:hAnsi="Calibri" w:cs="Arial"/>
                <w:bCs/>
                <w:color w:val="000000" w:themeColor="text1"/>
                <w:kern w:val="24"/>
                <w:szCs w:val="48"/>
                <w:lang w:val="en-US"/>
              </w:rPr>
              <w:t>&lt;</w:t>
            </w:r>
            <w:r w:rsidR="002127A4" w:rsidRPr="0044196C">
              <w:rPr>
                <w:rFonts w:ascii="Calibri" w:eastAsia="Times New Roman" w:hAnsi="Calibri" w:cs="Arial"/>
                <w:bCs/>
                <w:color w:val="000000" w:themeColor="text1"/>
                <w:kern w:val="24"/>
                <w:szCs w:val="48"/>
                <w:lang w:val="en-US"/>
              </w:rPr>
              <w:t xml:space="preserve"> 130/80</w:t>
            </w:r>
          </w:p>
        </w:tc>
        <w:tc>
          <w:tcPr>
            <w:tcW w:w="1486" w:type="pct"/>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2127A4" w:rsidRPr="0044196C" w:rsidRDefault="002127A4" w:rsidP="008D0B25">
            <w:pPr>
              <w:keepNext/>
              <w:keepLines/>
              <w:spacing w:before="0" w:line="240" w:lineRule="auto"/>
              <w:ind w:firstLine="0"/>
              <w:jc w:val="center"/>
              <w:rPr>
                <w:rFonts w:ascii="Calibri" w:eastAsia="Times New Roman" w:hAnsi="Calibri" w:cs="Arial"/>
                <w:bCs/>
                <w:color w:val="000000" w:themeColor="text1"/>
                <w:kern w:val="24"/>
                <w:szCs w:val="48"/>
                <w:lang w:val="en-US"/>
              </w:rPr>
            </w:pPr>
            <w:r w:rsidRPr="0044196C">
              <w:rPr>
                <w:rFonts w:ascii="Calibri" w:eastAsia="Times New Roman" w:hAnsi="Calibri" w:cs="Arial"/>
                <w:bCs/>
                <w:color w:val="000000" w:themeColor="text1"/>
                <w:kern w:val="24"/>
                <w:szCs w:val="48"/>
                <w:lang w:val="en-US"/>
              </w:rPr>
              <w:t>2D</w:t>
            </w:r>
          </w:p>
        </w:tc>
      </w:tr>
    </w:tbl>
    <w:p w:rsidR="009B6C9A" w:rsidRPr="0044196C" w:rsidRDefault="00654E61" w:rsidP="003A2836">
      <w:pPr>
        <w:tabs>
          <w:tab w:val="left" w:pos="3573"/>
        </w:tabs>
        <w:ind w:left="360" w:firstLine="0"/>
        <w:jc w:val="left"/>
        <w:rPr>
          <w:rFonts w:cs="Times New Roman"/>
          <w:i/>
          <w:color w:val="000000" w:themeColor="text1"/>
        </w:rPr>
      </w:pPr>
      <w:r w:rsidRPr="0044196C">
        <w:rPr>
          <w:rFonts w:cs="Times New Roman"/>
          <w:i/>
          <w:color w:val="000000" w:themeColor="text1"/>
          <w:sz w:val="22"/>
        </w:rPr>
        <w:t xml:space="preserve">СД – сахарный диабет, ХБП 5Д – больные, получающие лечение диализом, </w:t>
      </w:r>
      <w:r w:rsidRPr="0044196C">
        <w:rPr>
          <w:rFonts w:cs="Times New Roman"/>
          <w:i/>
          <w:color w:val="000000" w:themeColor="text1"/>
          <w:sz w:val="22"/>
        </w:rPr>
        <w:br/>
        <w:t>ХБП Т – больные с пересаженной почкой</w:t>
      </w:r>
    </w:p>
    <w:p w:rsidR="00B91187" w:rsidRPr="0044196C" w:rsidRDefault="00BB1F38" w:rsidP="00622DC7">
      <w:pPr>
        <w:pStyle w:val="10"/>
        <w:numPr>
          <w:ilvl w:val="0"/>
          <w:numId w:val="3"/>
        </w:numPr>
        <w:rPr>
          <w:color w:val="000000" w:themeColor="text1"/>
        </w:rPr>
      </w:pPr>
      <w:bookmarkStart w:id="47" w:name="_Toc279732211"/>
      <w:bookmarkStart w:id="48" w:name="_Toc279831043"/>
      <w:r w:rsidRPr="0044196C">
        <w:rPr>
          <w:color w:val="000000" w:themeColor="text1"/>
        </w:rPr>
        <w:lastRenderedPageBreak/>
        <w:t>Образ жизни и диета больных с</w:t>
      </w:r>
      <w:r w:rsidR="00B91187" w:rsidRPr="0044196C">
        <w:rPr>
          <w:color w:val="000000" w:themeColor="text1"/>
        </w:rPr>
        <w:t xml:space="preserve"> вторичной почечной АГ</w:t>
      </w:r>
      <w:bookmarkEnd w:id="47"/>
      <w:bookmarkEnd w:id="48"/>
    </w:p>
    <w:p w:rsidR="008110DE" w:rsidRPr="0044196C" w:rsidRDefault="0025579C" w:rsidP="000D707B">
      <w:pPr>
        <w:pStyle w:val="a0"/>
        <w:rPr>
          <w:color w:val="000000" w:themeColor="text1"/>
        </w:rPr>
      </w:pPr>
      <w:bookmarkStart w:id="49" w:name="_Toc279732212"/>
      <w:r w:rsidRPr="0044196C">
        <w:rPr>
          <w:color w:val="000000" w:themeColor="text1"/>
        </w:rPr>
        <w:t xml:space="preserve">Диета и коррекция </w:t>
      </w:r>
      <w:r w:rsidR="008D0B25" w:rsidRPr="0044196C">
        <w:rPr>
          <w:color w:val="000000" w:themeColor="text1"/>
        </w:rPr>
        <w:t xml:space="preserve">образа жизни являются важной составляющей лечения больных с вторичной почечной АГ. </w:t>
      </w:r>
      <w:r w:rsidRPr="0044196C">
        <w:rPr>
          <w:color w:val="000000" w:themeColor="text1"/>
        </w:rPr>
        <w:t>Хотя при ХБП одних этих методов, как правило, недостаточно для снижения АД до целевого уровня, они необходимы, так как существенно повышают ответ на медикаментозное лечение (НГ).</w:t>
      </w:r>
      <w:bookmarkEnd w:id="49"/>
    </w:p>
    <w:p w:rsidR="000D707B" w:rsidRPr="0044196C" w:rsidRDefault="000D707B" w:rsidP="000D707B">
      <w:pPr>
        <w:pStyle w:val="a0"/>
        <w:rPr>
          <w:color w:val="000000" w:themeColor="text1"/>
        </w:rPr>
      </w:pPr>
      <w:bookmarkStart w:id="50" w:name="_Toc279732213"/>
      <w:r w:rsidRPr="0044196C">
        <w:rPr>
          <w:color w:val="000000" w:themeColor="text1"/>
        </w:rPr>
        <w:t>Диета больным с вторичной почечной АГ подбирается с учетом особенностей и стадии ХБП. Она должна быть, в первую очередь, подчинена задачам нефропротекции, коррекции метаболических и электролитных нарушений, связанных с заболеванием почек (НГ).</w:t>
      </w:r>
      <w:bookmarkEnd w:id="50"/>
    </w:p>
    <w:p w:rsidR="000D707B" w:rsidRPr="0044196C" w:rsidRDefault="000D707B" w:rsidP="008110DE">
      <w:pPr>
        <w:ind w:firstLine="708"/>
        <w:rPr>
          <w:color w:val="000000" w:themeColor="text1"/>
        </w:rPr>
      </w:pPr>
      <w:r w:rsidRPr="0044196C">
        <w:rPr>
          <w:color w:val="000000" w:themeColor="text1"/>
        </w:rPr>
        <w:t xml:space="preserve">Диета и коррекция образа жизни при ХБП не заменяют медикаментозную антигипертензивную терапию, </w:t>
      </w:r>
      <w:r w:rsidR="004110EB" w:rsidRPr="0044196C">
        <w:rPr>
          <w:color w:val="000000" w:themeColor="text1"/>
        </w:rPr>
        <w:t xml:space="preserve">которая, в отличие от эссенциальной АГ должна назначаться сразу при выявлении нефрогенной АГ, </w:t>
      </w:r>
      <w:r w:rsidRPr="0044196C">
        <w:rPr>
          <w:color w:val="000000" w:themeColor="text1"/>
        </w:rPr>
        <w:t>но существенно ее дополня</w:t>
      </w:r>
      <w:r w:rsidR="004110EB" w:rsidRPr="0044196C">
        <w:rPr>
          <w:color w:val="000000" w:themeColor="text1"/>
        </w:rPr>
        <w:t>ю</w:t>
      </w:r>
      <w:r w:rsidRPr="0044196C">
        <w:rPr>
          <w:color w:val="000000" w:themeColor="text1"/>
        </w:rPr>
        <w:t xml:space="preserve">т, повышая эффективность. Низкосолевая и малобелковая диета повышает антигипертензивное и антипротеинурическое действие ингибиторов АПФ и блокаторов рецепторов ангиотензина  </w:t>
      </w:r>
      <w:r w:rsidRPr="0044196C">
        <w:rPr>
          <w:color w:val="000000" w:themeColor="text1"/>
          <w:lang w:val="en-US"/>
        </w:rPr>
        <w:t>II</w:t>
      </w:r>
      <w:r w:rsidRPr="0044196C">
        <w:rPr>
          <w:color w:val="000000" w:themeColor="text1"/>
        </w:rPr>
        <w:t xml:space="preserve"> 1 типа (БРА) в 1,5-2 раза.</w:t>
      </w:r>
    </w:p>
    <w:p w:rsidR="00036D60" w:rsidRPr="0044196C" w:rsidRDefault="00036D60" w:rsidP="008110DE">
      <w:pPr>
        <w:ind w:firstLine="708"/>
        <w:rPr>
          <w:color w:val="000000" w:themeColor="text1"/>
        </w:rPr>
      </w:pPr>
      <w:r w:rsidRPr="0044196C">
        <w:rPr>
          <w:color w:val="000000" w:themeColor="text1"/>
        </w:rPr>
        <w:t xml:space="preserve">Диета при ХБП сложна, особенно на 3б-5 стадиях, поскольку подчинена целому комплексу задач профилактики и коррекции нарушений фосфорно-кальциевого, пуринового, липидного обмена, гиперкалиемии и метаболического ацидоза. Продукты, богатые калием, широко рекомендуемые пациентам с эссенциальной АГ, должны быть </w:t>
      </w:r>
      <w:r w:rsidR="004110EB" w:rsidRPr="0044196C">
        <w:rPr>
          <w:color w:val="000000" w:themeColor="text1"/>
        </w:rPr>
        <w:t>строго ограничены при ХБП С3б-5</w:t>
      </w:r>
      <w:r w:rsidRPr="0044196C">
        <w:rPr>
          <w:color w:val="000000" w:themeColor="text1"/>
        </w:rPr>
        <w:t xml:space="preserve">, так как не только усугубляют склонность к гиперкалиемии, но также способствуют развитию гиперурикемии и гиперфосфатемии. </w:t>
      </w:r>
      <w:r w:rsidR="008636CD" w:rsidRPr="0044196C">
        <w:rPr>
          <w:color w:val="000000" w:themeColor="text1"/>
        </w:rPr>
        <w:t xml:space="preserve">На этих стадиях также должно быть ограничено употребление рыбы, </w:t>
      </w:r>
      <w:r w:rsidR="0084553D" w:rsidRPr="0044196C">
        <w:rPr>
          <w:color w:val="000000" w:themeColor="text1"/>
        </w:rPr>
        <w:t xml:space="preserve">овсяной и гречневой каш, </w:t>
      </w:r>
      <w:r w:rsidR="008636CD" w:rsidRPr="0044196C">
        <w:rPr>
          <w:color w:val="000000" w:themeColor="text1"/>
        </w:rPr>
        <w:t>богат</w:t>
      </w:r>
      <w:r w:rsidR="0084553D" w:rsidRPr="0044196C">
        <w:rPr>
          <w:color w:val="000000" w:themeColor="text1"/>
        </w:rPr>
        <w:t>ых</w:t>
      </w:r>
      <w:r w:rsidR="008636CD" w:rsidRPr="0044196C">
        <w:rPr>
          <w:color w:val="000000" w:themeColor="text1"/>
        </w:rPr>
        <w:t xml:space="preserve"> фосфором (</w:t>
      </w:r>
      <w:fldSimple w:instr=" REF _Ref279743127 \h  \* MERGEFORMAT ">
        <w:r w:rsidR="008636CD" w:rsidRPr="0044196C">
          <w:rPr>
            <w:color w:val="000000" w:themeColor="text1"/>
          </w:rPr>
          <w:t xml:space="preserve">Таблица </w:t>
        </w:r>
        <w:r w:rsidR="008636CD" w:rsidRPr="0044196C">
          <w:rPr>
            <w:noProof/>
            <w:color w:val="000000" w:themeColor="text1"/>
          </w:rPr>
          <w:t>11</w:t>
        </w:r>
      </w:fldSimple>
      <w:r w:rsidR="008636CD" w:rsidRPr="0044196C">
        <w:rPr>
          <w:color w:val="000000" w:themeColor="text1"/>
        </w:rPr>
        <w:t>).</w:t>
      </w:r>
    </w:p>
    <w:p w:rsidR="00F042D4" w:rsidRPr="0044196C" w:rsidRDefault="006C4ECC" w:rsidP="00784795">
      <w:pPr>
        <w:ind w:firstLine="708"/>
        <w:rPr>
          <w:color w:val="000000" w:themeColor="text1"/>
          <w:lang w:eastAsia="sr-Cyrl-CS"/>
        </w:rPr>
      </w:pPr>
      <w:r w:rsidRPr="0044196C">
        <w:rPr>
          <w:color w:val="000000" w:themeColor="text1"/>
          <w:lang w:eastAsia="sr-Cyrl-CS"/>
        </w:rPr>
        <w:t xml:space="preserve">В условиях снижения функции почек особое значение приобретает </w:t>
      </w:r>
      <w:r w:rsidRPr="0044196C">
        <w:rPr>
          <w:b/>
          <w:color w:val="000000" w:themeColor="text1"/>
          <w:lang w:eastAsia="sr-Cyrl-CS"/>
        </w:rPr>
        <w:t>сбалансированность и полноценность</w:t>
      </w:r>
      <w:r w:rsidRPr="0044196C">
        <w:rPr>
          <w:color w:val="000000" w:themeColor="text1"/>
          <w:lang w:eastAsia="sr-Cyrl-CS"/>
        </w:rPr>
        <w:t xml:space="preserve"> рациона. </w:t>
      </w:r>
      <w:r w:rsidR="00F042D4" w:rsidRPr="0044196C">
        <w:rPr>
          <w:color w:val="000000" w:themeColor="text1"/>
        </w:rPr>
        <w:t>Питание должно быть регулярным, по возможности, частым – 3 основных приема пищи плюс 2 легких «перекуса». Рацион должен содержать большое количество овощей и фруктов (не менее 400 г/сут). Субпродукты, консервы, пищевые концентраты, продукты быстрого приготовления и полуфабрикаты, а также шипучие напитки, богатые фосфором, содержащие искусственные красители и синтетические вкусовые добавки, должны быть исключены.</w:t>
      </w:r>
    </w:p>
    <w:p w:rsidR="0084553D" w:rsidRPr="0044196C" w:rsidRDefault="0084553D" w:rsidP="0084553D">
      <w:pPr>
        <w:pStyle w:val="a0"/>
        <w:rPr>
          <w:color w:val="000000" w:themeColor="text1"/>
        </w:rPr>
      </w:pPr>
      <w:bookmarkStart w:id="51" w:name="_Toc279732214"/>
      <w:r w:rsidRPr="0044196C">
        <w:rPr>
          <w:color w:val="000000" w:themeColor="text1"/>
        </w:rPr>
        <w:t xml:space="preserve">Всем больным с вторичной почечной АГ </w:t>
      </w:r>
      <w:r w:rsidRPr="0044196C">
        <w:rPr>
          <w:i/>
          <w:color w:val="000000" w:themeColor="text1"/>
        </w:rPr>
        <w:t>рекомендуется</w:t>
      </w:r>
      <w:r w:rsidRPr="0044196C">
        <w:rPr>
          <w:color w:val="000000" w:themeColor="text1"/>
        </w:rPr>
        <w:t xml:space="preserve"> ограничение потребления соли – менее 2 г </w:t>
      </w:r>
      <w:r w:rsidR="006C4ECC" w:rsidRPr="0044196C">
        <w:rPr>
          <w:color w:val="000000" w:themeColor="text1"/>
        </w:rPr>
        <w:t xml:space="preserve">(&lt; 90 ммоль) </w:t>
      </w:r>
      <w:r w:rsidRPr="0044196C">
        <w:rPr>
          <w:color w:val="000000" w:themeColor="text1"/>
        </w:rPr>
        <w:t>натрия (соответствует 5 г хлорида натрия), если нет противопоказаний (1С).</w:t>
      </w:r>
      <w:bookmarkEnd w:id="51"/>
    </w:p>
    <w:p w:rsidR="005A2C1C" w:rsidRPr="0044196C" w:rsidRDefault="005A2C1C" w:rsidP="008A6883">
      <w:pPr>
        <w:tabs>
          <w:tab w:val="left" w:pos="3573"/>
        </w:tabs>
        <w:rPr>
          <w:rFonts w:cs="Times New Roman"/>
          <w:color w:val="000000" w:themeColor="text1"/>
        </w:rPr>
      </w:pPr>
      <w:r w:rsidRPr="0044196C">
        <w:rPr>
          <w:rFonts w:cs="Times New Roman"/>
          <w:color w:val="000000" w:themeColor="text1"/>
        </w:rPr>
        <w:t>Увеличение потребления соли является важным фактором, способствующим повышению АД у пациентов с ХБП. Ограничение потребления соли при эссенциальной гипертонии оказывает достоверный антигипертензивный эффект</w:t>
      </w:r>
      <w:r w:rsidR="00B971C6" w:rsidRPr="0044196C">
        <w:rPr>
          <w:rFonts w:cs="Times New Roman"/>
          <w:color w:val="000000" w:themeColor="text1"/>
        </w:rPr>
        <w:t xml:space="preserve"> </w:t>
      </w:r>
      <w:r w:rsidR="008A6883" w:rsidRPr="0044196C">
        <w:rPr>
          <w:rFonts w:cs="Times New Roman"/>
          <w:color w:val="000000" w:themeColor="text1"/>
        </w:rPr>
        <w:t xml:space="preserve">[Dickinson HO, Mason JM, Nicolson DJ etal. </w:t>
      </w:r>
      <w:r w:rsidR="008A6883" w:rsidRPr="0044196C">
        <w:rPr>
          <w:rFonts w:cs="Times New Roman"/>
          <w:color w:val="000000" w:themeColor="text1"/>
          <w:lang w:val="en-US"/>
        </w:rPr>
        <w:t>Life</w:t>
      </w:r>
      <w:r w:rsidR="00B971C6" w:rsidRPr="0044196C">
        <w:rPr>
          <w:rFonts w:cs="Times New Roman"/>
          <w:color w:val="000000" w:themeColor="text1"/>
          <w:lang w:val="en-US"/>
        </w:rPr>
        <w:t xml:space="preserve"> </w:t>
      </w:r>
      <w:r w:rsidR="008A6883" w:rsidRPr="0044196C">
        <w:rPr>
          <w:rFonts w:cs="Times New Roman"/>
          <w:color w:val="000000" w:themeColor="text1"/>
          <w:lang w:val="en-US"/>
        </w:rPr>
        <w:t>style</w:t>
      </w:r>
      <w:r w:rsidR="00B971C6" w:rsidRPr="0044196C">
        <w:rPr>
          <w:rFonts w:cs="Times New Roman"/>
          <w:color w:val="000000" w:themeColor="text1"/>
          <w:lang w:val="en-US"/>
        </w:rPr>
        <w:t xml:space="preserve"> </w:t>
      </w:r>
      <w:r w:rsidR="008A6883" w:rsidRPr="0044196C">
        <w:rPr>
          <w:rFonts w:cs="Times New Roman"/>
          <w:color w:val="000000" w:themeColor="text1"/>
          <w:lang w:val="en-US"/>
        </w:rPr>
        <w:t>interventionstoreduceraised</w:t>
      </w:r>
      <w:r w:rsidR="00B971C6" w:rsidRPr="0044196C">
        <w:rPr>
          <w:rFonts w:cs="Times New Roman"/>
          <w:color w:val="000000" w:themeColor="text1"/>
          <w:lang w:val="en-US"/>
        </w:rPr>
        <w:t xml:space="preserve"> </w:t>
      </w:r>
      <w:r w:rsidR="008A6883" w:rsidRPr="0044196C">
        <w:rPr>
          <w:rFonts w:cs="Times New Roman"/>
          <w:color w:val="000000" w:themeColor="text1"/>
          <w:lang w:val="en-US"/>
        </w:rPr>
        <w:t>blood</w:t>
      </w:r>
      <w:r w:rsidR="00B971C6" w:rsidRPr="0044196C">
        <w:rPr>
          <w:rFonts w:cs="Times New Roman"/>
          <w:color w:val="000000" w:themeColor="text1"/>
          <w:lang w:val="en-US"/>
        </w:rPr>
        <w:t xml:space="preserve"> </w:t>
      </w:r>
      <w:r w:rsidR="008A6883" w:rsidRPr="0044196C">
        <w:rPr>
          <w:rFonts w:cs="Times New Roman"/>
          <w:color w:val="000000" w:themeColor="text1"/>
          <w:lang w:val="en-US"/>
        </w:rPr>
        <w:t>pressure: a systematic</w:t>
      </w:r>
      <w:r w:rsidR="00B971C6" w:rsidRPr="0044196C">
        <w:rPr>
          <w:rFonts w:cs="Times New Roman"/>
          <w:color w:val="000000" w:themeColor="text1"/>
          <w:lang w:val="en-US"/>
        </w:rPr>
        <w:t xml:space="preserve"> </w:t>
      </w:r>
      <w:r w:rsidR="008A6883" w:rsidRPr="0044196C">
        <w:rPr>
          <w:rFonts w:cs="Times New Roman"/>
          <w:color w:val="000000" w:themeColor="text1"/>
          <w:lang w:val="en-US"/>
        </w:rPr>
        <w:t>review</w:t>
      </w:r>
      <w:r w:rsidR="00B971C6" w:rsidRPr="0044196C">
        <w:rPr>
          <w:rFonts w:cs="Times New Roman"/>
          <w:color w:val="000000" w:themeColor="text1"/>
          <w:lang w:val="en-US"/>
        </w:rPr>
        <w:t xml:space="preserve"> </w:t>
      </w:r>
      <w:r w:rsidR="008A6883" w:rsidRPr="0044196C">
        <w:rPr>
          <w:rFonts w:cs="Times New Roman"/>
          <w:color w:val="000000" w:themeColor="text1"/>
          <w:lang w:val="en-US"/>
        </w:rPr>
        <w:t>of</w:t>
      </w:r>
      <w:r w:rsidR="00B971C6" w:rsidRPr="0044196C">
        <w:rPr>
          <w:rFonts w:cs="Times New Roman"/>
          <w:color w:val="000000" w:themeColor="text1"/>
          <w:lang w:val="en-US"/>
        </w:rPr>
        <w:t xml:space="preserve"> </w:t>
      </w:r>
      <w:r w:rsidR="008A6883" w:rsidRPr="0044196C">
        <w:rPr>
          <w:rFonts w:cs="Times New Roman"/>
          <w:color w:val="000000" w:themeColor="text1"/>
          <w:lang w:val="en-US"/>
        </w:rPr>
        <w:t>randomized</w:t>
      </w:r>
      <w:r w:rsidR="00B971C6" w:rsidRPr="0044196C">
        <w:rPr>
          <w:rFonts w:cs="Times New Roman"/>
          <w:color w:val="000000" w:themeColor="text1"/>
          <w:lang w:val="en-US"/>
        </w:rPr>
        <w:t xml:space="preserve"> </w:t>
      </w:r>
      <w:r w:rsidR="008A6883" w:rsidRPr="0044196C">
        <w:rPr>
          <w:rFonts w:cs="Times New Roman"/>
          <w:color w:val="000000" w:themeColor="text1"/>
          <w:lang w:val="en-US"/>
        </w:rPr>
        <w:t>controlled</w:t>
      </w:r>
      <w:r w:rsidR="00B971C6" w:rsidRPr="0044196C">
        <w:rPr>
          <w:rFonts w:cs="Times New Roman"/>
          <w:color w:val="000000" w:themeColor="text1"/>
          <w:lang w:val="en-US"/>
        </w:rPr>
        <w:t xml:space="preserve"> </w:t>
      </w:r>
      <w:r w:rsidR="008A6883" w:rsidRPr="0044196C">
        <w:rPr>
          <w:rFonts w:cs="Times New Roman"/>
          <w:color w:val="000000" w:themeColor="text1"/>
          <w:lang w:val="en-US"/>
        </w:rPr>
        <w:t xml:space="preserve">trials. </w:t>
      </w:r>
      <w:r w:rsidR="008A6883" w:rsidRPr="0044196C">
        <w:rPr>
          <w:rFonts w:cs="Times New Roman"/>
          <w:color w:val="000000" w:themeColor="text1"/>
        </w:rPr>
        <w:t>J Hypertens 2006; 24: 215–233]</w:t>
      </w:r>
      <w:r w:rsidRPr="0044196C">
        <w:rPr>
          <w:rFonts w:cs="Times New Roman"/>
          <w:color w:val="000000" w:themeColor="text1"/>
        </w:rPr>
        <w:t xml:space="preserve">. Несмотря на отсутствие крупномасштабных долгосрочных </w:t>
      </w:r>
      <w:r w:rsidR="00DD1D19" w:rsidRPr="0044196C">
        <w:rPr>
          <w:rFonts w:cs="Times New Roman"/>
          <w:color w:val="000000" w:themeColor="text1"/>
        </w:rPr>
        <w:t>РКИ</w:t>
      </w:r>
      <w:r w:rsidRPr="0044196C">
        <w:rPr>
          <w:rFonts w:cs="Times New Roman"/>
          <w:color w:val="000000" w:themeColor="text1"/>
        </w:rPr>
        <w:t xml:space="preserve"> по изучению роли ограничения потребления соли у пациентов с ХБП, нет оснований полагать, что при этом не должно наблюдаться снижение АД. Установлено, что низконатриевая диета у пациентов, получающих БРА, приводит к дальнейшему снижению АД, а также альбуминурии или протеинурии</w:t>
      </w:r>
      <w:r w:rsidR="00B971C6" w:rsidRPr="0044196C">
        <w:rPr>
          <w:rFonts w:cs="Times New Roman"/>
          <w:color w:val="000000" w:themeColor="text1"/>
        </w:rPr>
        <w:t xml:space="preserve"> </w:t>
      </w:r>
      <w:r w:rsidRPr="0044196C">
        <w:rPr>
          <w:rFonts w:cs="Times New Roman"/>
          <w:color w:val="000000" w:themeColor="text1"/>
        </w:rPr>
        <w:t>[</w:t>
      </w:r>
      <w:r w:rsidR="008A6883" w:rsidRPr="0044196C">
        <w:rPr>
          <w:rFonts w:cs="Times New Roman"/>
          <w:color w:val="000000" w:themeColor="text1"/>
          <w:lang w:val="en-US"/>
        </w:rPr>
        <w:t>Esnault</w:t>
      </w:r>
      <w:r w:rsidR="008A6883" w:rsidRPr="0044196C">
        <w:rPr>
          <w:rFonts w:cs="Times New Roman"/>
          <w:color w:val="000000" w:themeColor="text1"/>
        </w:rPr>
        <w:t xml:space="preserve"> </w:t>
      </w:r>
      <w:r w:rsidR="008A6883" w:rsidRPr="0044196C">
        <w:rPr>
          <w:rFonts w:cs="Times New Roman"/>
          <w:color w:val="000000" w:themeColor="text1"/>
          <w:lang w:val="en-US"/>
        </w:rPr>
        <w:t>VL</w:t>
      </w:r>
      <w:r w:rsidR="008A6883" w:rsidRPr="0044196C">
        <w:rPr>
          <w:rFonts w:cs="Times New Roman"/>
          <w:color w:val="000000" w:themeColor="text1"/>
        </w:rPr>
        <w:t xml:space="preserve">, </w:t>
      </w:r>
      <w:r w:rsidR="008A6883" w:rsidRPr="0044196C">
        <w:rPr>
          <w:rFonts w:cs="Times New Roman"/>
          <w:color w:val="000000" w:themeColor="text1"/>
          <w:lang w:val="en-US"/>
        </w:rPr>
        <w:t>Ekhlas</w:t>
      </w:r>
      <w:r w:rsidR="008A6883" w:rsidRPr="0044196C">
        <w:rPr>
          <w:rFonts w:cs="Times New Roman"/>
          <w:color w:val="000000" w:themeColor="text1"/>
        </w:rPr>
        <w:t xml:space="preserve"> </w:t>
      </w:r>
      <w:r w:rsidR="008A6883" w:rsidRPr="0044196C">
        <w:rPr>
          <w:rFonts w:cs="Times New Roman"/>
          <w:color w:val="000000" w:themeColor="text1"/>
          <w:lang w:val="en-US"/>
        </w:rPr>
        <w:t>A</w:t>
      </w:r>
      <w:r w:rsidR="008A6883" w:rsidRPr="0044196C">
        <w:rPr>
          <w:rFonts w:cs="Times New Roman"/>
          <w:color w:val="000000" w:themeColor="text1"/>
        </w:rPr>
        <w:t xml:space="preserve">, </w:t>
      </w:r>
      <w:r w:rsidR="008A6883" w:rsidRPr="0044196C">
        <w:rPr>
          <w:rFonts w:cs="Times New Roman"/>
          <w:color w:val="000000" w:themeColor="text1"/>
          <w:lang w:val="en-US"/>
        </w:rPr>
        <w:t>Delcroix</w:t>
      </w:r>
      <w:r w:rsidR="008A6883" w:rsidRPr="0044196C">
        <w:rPr>
          <w:rFonts w:cs="Times New Roman"/>
          <w:color w:val="000000" w:themeColor="text1"/>
        </w:rPr>
        <w:t xml:space="preserve"> </w:t>
      </w:r>
      <w:r w:rsidR="008A6883" w:rsidRPr="0044196C">
        <w:rPr>
          <w:rFonts w:cs="Times New Roman"/>
          <w:color w:val="000000" w:themeColor="text1"/>
          <w:lang w:val="en-US"/>
        </w:rPr>
        <w:t>C</w:t>
      </w:r>
      <w:r w:rsidR="008A6883" w:rsidRPr="0044196C">
        <w:rPr>
          <w:rFonts w:cs="Times New Roman"/>
          <w:color w:val="000000" w:themeColor="text1"/>
        </w:rPr>
        <w:t xml:space="preserve"> </w:t>
      </w:r>
      <w:r w:rsidR="008A6883" w:rsidRPr="0044196C">
        <w:rPr>
          <w:rFonts w:cs="Times New Roman"/>
          <w:color w:val="000000" w:themeColor="text1"/>
          <w:lang w:val="en-US"/>
        </w:rPr>
        <w:t>et</w:t>
      </w:r>
      <w:r w:rsidR="008A6883" w:rsidRPr="0044196C">
        <w:rPr>
          <w:rFonts w:cs="Times New Roman"/>
          <w:color w:val="000000" w:themeColor="text1"/>
        </w:rPr>
        <w:t xml:space="preserve"> </w:t>
      </w:r>
      <w:r w:rsidR="008A6883" w:rsidRPr="0044196C">
        <w:rPr>
          <w:rFonts w:cs="Times New Roman"/>
          <w:color w:val="000000" w:themeColor="text1"/>
          <w:lang w:val="en-US"/>
        </w:rPr>
        <w:t>al</w:t>
      </w:r>
      <w:r w:rsidR="008A6883" w:rsidRPr="0044196C">
        <w:rPr>
          <w:rFonts w:cs="Times New Roman"/>
          <w:color w:val="000000" w:themeColor="text1"/>
        </w:rPr>
        <w:t xml:space="preserve">. </w:t>
      </w:r>
      <w:r w:rsidR="008A6883" w:rsidRPr="0044196C">
        <w:rPr>
          <w:rFonts w:cs="Times New Roman"/>
          <w:color w:val="000000" w:themeColor="text1"/>
          <w:lang w:val="en-US"/>
        </w:rPr>
        <w:t>Diuretic and enhanced sodium restriction</w:t>
      </w:r>
      <w:r w:rsidR="00B971C6" w:rsidRPr="0044196C">
        <w:rPr>
          <w:rFonts w:cs="Times New Roman"/>
          <w:color w:val="000000" w:themeColor="text1"/>
          <w:lang w:val="en-US"/>
        </w:rPr>
        <w:t xml:space="preserve"> </w:t>
      </w:r>
      <w:r w:rsidR="008A6883" w:rsidRPr="0044196C">
        <w:rPr>
          <w:rFonts w:cs="Times New Roman"/>
          <w:color w:val="000000" w:themeColor="text1"/>
          <w:lang w:val="en-US"/>
        </w:rPr>
        <w:t xml:space="preserve"> results in improved </w:t>
      </w:r>
      <w:r w:rsidR="008A6883" w:rsidRPr="0044196C">
        <w:rPr>
          <w:rFonts w:cs="Times New Roman"/>
          <w:color w:val="000000" w:themeColor="text1"/>
          <w:lang w:val="en-US"/>
        </w:rPr>
        <w:lastRenderedPageBreak/>
        <w:t>antiproteinuric response to RAS blocking agents. J Am SocNephrol 2005; 16: 474–481. Phillips CO, Kashani A, Ko DK et al. Adverse effects of combination angiotensin II receptor blockers plus angiotensin-converting enzyme inhibitors for left ventricular dysfunction: a quantitative review of data from randomized clinical trials. Arch Intern Med 2007; 167: 1930–1936.Slagman MC, Waanders F, Hemmelder MH et al. Moderate dietary sodium restriction added to angiotensin converting enzyme inhibition compared with dual blockade in lowering proteinuria and blood pressure: randomised controlled trial. BMJ 2011; 343: d4366. Vogt L, Waanders F, Boomsma F et al. Effects of dietary sodium and hydrochlorothiazide on the antiproteinuric efficacy of losartan. J</w:t>
      </w:r>
      <w:r w:rsidR="008A6883" w:rsidRPr="0044196C">
        <w:rPr>
          <w:rFonts w:cs="Times New Roman"/>
          <w:color w:val="000000" w:themeColor="text1"/>
        </w:rPr>
        <w:t xml:space="preserve"> </w:t>
      </w:r>
      <w:r w:rsidR="008A6883" w:rsidRPr="0044196C">
        <w:rPr>
          <w:rFonts w:cs="Times New Roman"/>
          <w:color w:val="000000" w:themeColor="text1"/>
          <w:lang w:val="en-US"/>
        </w:rPr>
        <w:t>Am</w:t>
      </w:r>
      <w:r w:rsidR="008A6883" w:rsidRPr="0044196C">
        <w:rPr>
          <w:rFonts w:cs="Times New Roman"/>
          <w:color w:val="000000" w:themeColor="text1"/>
        </w:rPr>
        <w:t xml:space="preserve"> </w:t>
      </w:r>
      <w:r w:rsidR="008A6883" w:rsidRPr="0044196C">
        <w:rPr>
          <w:rFonts w:cs="Times New Roman"/>
          <w:color w:val="000000" w:themeColor="text1"/>
          <w:lang w:val="en-US"/>
        </w:rPr>
        <w:t>SocNephrol</w:t>
      </w:r>
      <w:r w:rsidR="008A6883" w:rsidRPr="0044196C">
        <w:rPr>
          <w:rFonts w:cs="Times New Roman"/>
          <w:color w:val="000000" w:themeColor="text1"/>
        </w:rPr>
        <w:t xml:space="preserve"> 2008; 19: 999–1007.</w:t>
      </w:r>
      <w:r w:rsidRPr="0044196C">
        <w:rPr>
          <w:rFonts w:cs="Times New Roman"/>
          <w:color w:val="000000" w:themeColor="text1"/>
        </w:rPr>
        <w:t>].</w:t>
      </w:r>
    </w:p>
    <w:p w:rsidR="00A01E04" w:rsidRPr="0044196C" w:rsidRDefault="005A2C1C" w:rsidP="000800B1">
      <w:pPr>
        <w:tabs>
          <w:tab w:val="left" w:pos="3573"/>
        </w:tabs>
        <w:rPr>
          <w:rFonts w:cs="Times New Roman"/>
          <w:color w:val="000000" w:themeColor="text1"/>
        </w:rPr>
      </w:pPr>
      <w:r w:rsidRPr="0044196C">
        <w:rPr>
          <w:rFonts w:cs="Times New Roman"/>
          <w:color w:val="000000" w:themeColor="text1"/>
        </w:rPr>
        <w:t xml:space="preserve">При некоторых вариантах ХБП </w:t>
      </w:r>
      <w:r w:rsidR="008A6883" w:rsidRPr="0044196C">
        <w:rPr>
          <w:rFonts w:cs="Times New Roman"/>
          <w:color w:val="000000" w:themeColor="text1"/>
        </w:rPr>
        <w:t xml:space="preserve">(хронический интерстициальный нефрит, тубулопатии) </w:t>
      </w:r>
      <w:r w:rsidRPr="0044196C">
        <w:rPr>
          <w:rFonts w:cs="Times New Roman"/>
          <w:color w:val="000000" w:themeColor="text1"/>
        </w:rPr>
        <w:t xml:space="preserve">наблюдается </w:t>
      </w:r>
      <w:r w:rsidR="008A6883" w:rsidRPr="0044196C">
        <w:rPr>
          <w:rFonts w:cs="Times New Roman"/>
          <w:color w:val="000000" w:themeColor="text1"/>
        </w:rPr>
        <w:t>избыточная экскрециянатрия</w:t>
      </w:r>
      <w:r w:rsidRPr="0044196C">
        <w:rPr>
          <w:rFonts w:cs="Times New Roman"/>
          <w:color w:val="000000" w:themeColor="text1"/>
        </w:rPr>
        <w:t xml:space="preserve"> с мочой. </w:t>
      </w:r>
      <w:r w:rsidR="008A6883" w:rsidRPr="0044196C">
        <w:rPr>
          <w:rFonts w:cs="Times New Roman"/>
          <w:color w:val="000000" w:themeColor="text1"/>
        </w:rPr>
        <w:t xml:space="preserve">Низкосолевая диета в этих случаях связана с </w:t>
      </w:r>
      <w:r w:rsidRPr="0044196C">
        <w:rPr>
          <w:rFonts w:cs="Times New Roman"/>
          <w:color w:val="000000" w:themeColor="text1"/>
        </w:rPr>
        <w:t>риск</w:t>
      </w:r>
      <w:r w:rsidR="008A6883" w:rsidRPr="0044196C">
        <w:rPr>
          <w:rFonts w:cs="Times New Roman"/>
          <w:color w:val="000000" w:themeColor="text1"/>
        </w:rPr>
        <w:t>ом</w:t>
      </w:r>
      <w:r w:rsidRPr="0044196C">
        <w:rPr>
          <w:rFonts w:cs="Times New Roman"/>
          <w:color w:val="000000" w:themeColor="text1"/>
        </w:rPr>
        <w:t xml:space="preserve"> развития </w:t>
      </w:r>
      <w:r w:rsidR="008A6883" w:rsidRPr="0044196C">
        <w:rPr>
          <w:rFonts w:cs="Times New Roman"/>
          <w:color w:val="000000" w:themeColor="text1"/>
        </w:rPr>
        <w:t>гиповолемии и не рекомендуется</w:t>
      </w:r>
      <w:r w:rsidRPr="0044196C">
        <w:rPr>
          <w:rFonts w:cs="Times New Roman"/>
          <w:color w:val="000000" w:themeColor="text1"/>
        </w:rPr>
        <w:t xml:space="preserve">. </w:t>
      </w:r>
    </w:p>
    <w:p w:rsidR="0084553D" w:rsidRPr="0044196C" w:rsidRDefault="000800B1" w:rsidP="000800B1">
      <w:pPr>
        <w:tabs>
          <w:tab w:val="left" w:pos="3573"/>
        </w:tabs>
        <w:rPr>
          <w:rFonts w:cs="Times New Roman"/>
          <w:color w:val="000000" w:themeColor="text1"/>
        </w:rPr>
      </w:pPr>
      <w:r w:rsidRPr="0044196C">
        <w:rPr>
          <w:rFonts w:cs="Times New Roman"/>
          <w:color w:val="000000" w:themeColor="text1"/>
        </w:rPr>
        <w:t xml:space="preserve">Возможность косвенного </w:t>
      </w:r>
      <w:r w:rsidR="008A6883" w:rsidRPr="0044196C">
        <w:rPr>
          <w:rFonts w:cs="Times New Roman"/>
          <w:color w:val="000000" w:themeColor="text1"/>
        </w:rPr>
        <w:t xml:space="preserve">контроля потребления </w:t>
      </w:r>
      <w:r w:rsidRPr="0044196C">
        <w:rPr>
          <w:rFonts w:cs="Times New Roman"/>
          <w:color w:val="000000" w:themeColor="text1"/>
        </w:rPr>
        <w:t>солидает</w:t>
      </w:r>
      <w:r w:rsidR="008A6883" w:rsidRPr="0044196C">
        <w:rPr>
          <w:rFonts w:cs="Times New Roman"/>
          <w:color w:val="000000" w:themeColor="text1"/>
        </w:rPr>
        <w:t xml:space="preserve"> биохимический анализ мочи с расчетом суточной экскреции </w:t>
      </w:r>
      <w:r w:rsidRPr="0044196C">
        <w:rPr>
          <w:rFonts w:cs="Times New Roman"/>
          <w:color w:val="000000" w:themeColor="text1"/>
        </w:rPr>
        <w:t>натрия.</w:t>
      </w:r>
    </w:p>
    <w:p w:rsidR="006B2ECB" w:rsidRPr="0044196C" w:rsidRDefault="006B2ECB" w:rsidP="006B2ECB">
      <w:pPr>
        <w:pStyle w:val="a0"/>
        <w:rPr>
          <w:color w:val="000000" w:themeColor="text1"/>
        </w:rPr>
      </w:pPr>
      <w:r w:rsidRPr="0044196C">
        <w:rPr>
          <w:color w:val="000000" w:themeColor="text1"/>
        </w:rPr>
        <w:t>Всем больным с вторичной почечной АГ</w:t>
      </w:r>
      <w:r w:rsidR="00913045" w:rsidRPr="0044196C">
        <w:rPr>
          <w:color w:val="000000" w:themeColor="text1"/>
        </w:rPr>
        <w:t>, за исключением пациентов с нефротическим синдромом, ХБП С5Д и другими состояниями, связанными с задержкой жидкости, эксперты считают целесообразным соблюдение расширенного водного режима</w:t>
      </w:r>
      <w:r w:rsidR="00C337BE" w:rsidRPr="0044196C">
        <w:rPr>
          <w:color w:val="000000" w:themeColor="text1"/>
        </w:rPr>
        <w:t>– потребл</w:t>
      </w:r>
      <w:r w:rsidR="00CC1545" w:rsidRPr="0044196C">
        <w:rPr>
          <w:color w:val="000000" w:themeColor="text1"/>
        </w:rPr>
        <w:t xml:space="preserve">ение не менее 2 л воды в сутки </w:t>
      </w:r>
      <w:r w:rsidRPr="0044196C">
        <w:rPr>
          <w:color w:val="000000" w:themeColor="text1"/>
        </w:rPr>
        <w:t>(</w:t>
      </w:r>
      <w:r w:rsidR="00913045" w:rsidRPr="0044196C">
        <w:rPr>
          <w:color w:val="000000" w:themeColor="text1"/>
        </w:rPr>
        <w:t>НГ</w:t>
      </w:r>
      <w:r w:rsidRPr="0044196C">
        <w:rPr>
          <w:color w:val="000000" w:themeColor="text1"/>
        </w:rPr>
        <w:t>).</w:t>
      </w:r>
    </w:p>
    <w:p w:rsidR="00CC1545" w:rsidRPr="0044196C" w:rsidRDefault="00913045" w:rsidP="00CC1545">
      <w:pPr>
        <w:tabs>
          <w:tab w:val="left" w:pos="3969"/>
        </w:tabs>
        <w:rPr>
          <w:color w:val="000000" w:themeColor="text1"/>
        </w:rPr>
      </w:pPr>
      <w:r w:rsidRPr="0044196C">
        <w:rPr>
          <w:color w:val="000000" w:themeColor="text1"/>
        </w:rPr>
        <w:t xml:space="preserve">Потребление жидкости в объеме не менее 2 литров в сутки на сегодня принято в качестве нормы здорового образа жизни. </w:t>
      </w:r>
      <w:r w:rsidR="00CC1545" w:rsidRPr="0044196C">
        <w:rPr>
          <w:color w:val="000000" w:themeColor="text1"/>
        </w:rPr>
        <w:t>Однако</w:t>
      </w:r>
      <w:r w:rsidR="00B971C6" w:rsidRPr="0044196C">
        <w:rPr>
          <w:color w:val="000000" w:themeColor="text1"/>
        </w:rPr>
        <w:t>,</w:t>
      </w:r>
      <w:r w:rsidR="00CC1545" w:rsidRPr="0044196C">
        <w:rPr>
          <w:color w:val="000000" w:themeColor="text1"/>
        </w:rPr>
        <w:t xml:space="preserve"> по данным анкетирования работников одного из предприятий г. Москвы</w:t>
      </w:r>
      <w:r w:rsidR="00B971C6" w:rsidRPr="0044196C">
        <w:rPr>
          <w:color w:val="000000" w:themeColor="text1"/>
        </w:rPr>
        <w:t>,</w:t>
      </w:r>
      <w:r w:rsidR="00CC1545" w:rsidRPr="0044196C">
        <w:rPr>
          <w:color w:val="000000" w:themeColor="text1"/>
        </w:rPr>
        <w:t xml:space="preserve"> </w:t>
      </w:r>
      <w:r w:rsidR="009D7C63" w:rsidRPr="0044196C">
        <w:rPr>
          <w:color w:val="000000" w:themeColor="text1"/>
        </w:rPr>
        <w:fldChar w:fldCharType="begin" w:fldLock="1"/>
      </w:r>
      <w:r w:rsidR="00EA3B99" w:rsidRPr="0044196C">
        <w:rPr>
          <w:color w:val="000000" w:themeColor="text1"/>
        </w:rPr>
        <w:instrText>ADDIN CSL_CITATION { "citationItems" : [ { "id" : "ITEM-1", "itemData" : { "author" : [ { "dropping-particle" : "", "family" : "\u041d\u0430\u0433\u0430\u0439\u0446\u0435\u0432\u0430", "given" : "\u0421.\u0421.", "non-dropping-particle" : "", "parse-names" : false, "suffix" : "" }, { "dropping-particle" : "", "family" : "\u0428\u0432\u0435\u0446\u043e\u0432", "given" : "\u041c.\u042e.", "non-dropping-particle" : "", "parse-names" : false, "suffix" : "" }, { "dropping-particle" : "", "family" : "\u0413\u0435\u0440\u0430\u0441\u0438\u043c\u043e\u0432", "given" : "\u0410.\u041d.", "non-dropping-particle" : "", "parse-names" : false, "suffix" : "" }, { "dropping-particle" : "", "family" : "\u0416\u0443\u0440\u0430\u0432\u043b\u0435\u0432\u0430", "given" : "\u0415.\u0410.", "non-dropping-particle" : "", "parse-names" : false, "suffix" : "" }, { "dropping-particle" : "", "family" : "\u0428\u0438\u043b\u043e\u0432", "given" : "\u0415.\u041c.", "non-dropping-particle" : "", "parse-names" : false, "suffix" : "" } ], "container-title" : "\u0410\u043b\u044c\u043c\u0430\u043d\u0430\u0445 \u043a\u043b\u0438\u043d\u0438\u0447\u0435\u0441\u043a\u043e\u0439 \u043c\u0435\u0434\u0438\u0446\u0438\u043d\u044b", "id" : "ITEM-1", "issue" : "30", "issued" : { "date-parts" : [ [ "2014" ] ] }, "page" : "37-45", "title" : "\u0418\u0441\u0441\u043b\u0435\u0434\u043e\u0432\u0430\u043d\u0438\u0435 \u0430\u043b\u044c\u0431\u0443\u043c\u0438\u043d\u0443\u0440\u0438\u0438 \u043a\u0430\u043a \u043c\u0430\u0440\u043a\u0435\u0440\u0430 \u0445\u0440\u043e\u043d\u0438\u0447\u0435\u0441\u043a\u043e\u0439 \u0431\u043e\u043b\u0435\u0437\u043d\u0438 \u043f\u043e\u0447\u0435\u043a \u0443 \u0432\u0437\u0440\u043e\u0441\u043b\u043e\u0433\u043e \u0442\u0440\u0443\u0434\u043e\u0441\u043f\u043e\u0441\u043e\u0431\u043d\u043e\u0433\u043e \u043d\u0430\u0441\u0435\u043b\u0435\u043d\u0438\u044f", "type" : "article-journal" }, "uris" : [ "http://www.mendeley.com/documents/?uuid=2b15f5a6-7361-49bd-a9ad-03bb4ec1e55d" ] } ], "mendeley" : { "previouslyFormattedCitation" : "[\u041d\u0430\u0433\u0430\u0439\u0446\u0435\u0432\u0430 \u0438 \u0434\u0440., 2014]"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[Нагайцева и др., 2014]</w:t>
      </w:r>
      <w:r w:rsidR="009D7C63" w:rsidRPr="0044196C">
        <w:rPr>
          <w:color w:val="000000" w:themeColor="text1"/>
        </w:rPr>
        <w:fldChar w:fldCharType="end"/>
      </w:r>
      <w:r w:rsidR="00CC1545" w:rsidRPr="0044196C">
        <w:rPr>
          <w:color w:val="000000" w:themeColor="text1"/>
        </w:rPr>
        <w:t xml:space="preserve"> 65,7%  опрошенных старались ограничивать потребление жидкости, что сочеталось со значительно более высокой частотой альбуминурии по сравнению с лицами, потреблявшими много жидкости (отношение рисков 1,357 (0,837-2,199)). </w:t>
      </w:r>
      <w:bookmarkStart w:id="52" w:name="__UnoMark__2583_1907365526"/>
      <w:bookmarkEnd w:id="52"/>
    </w:p>
    <w:p w:rsidR="006B2ECB" w:rsidRPr="0044196C" w:rsidRDefault="00CC1545" w:rsidP="00CC1545">
      <w:pPr>
        <w:tabs>
          <w:tab w:val="left" w:pos="3969"/>
        </w:tabs>
        <w:rPr>
          <w:color w:val="000000" w:themeColor="text1"/>
        </w:rPr>
      </w:pPr>
      <w:r w:rsidRPr="0044196C">
        <w:rPr>
          <w:color w:val="000000" w:themeColor="text1"/>
        </w:rPr>
        <w:t>Неоправданное о</w:t>
      </w:r>
      <w:r w:rsidR="00913045" w:rsidRPr="0044196C">
        <w:rPr>
          <w:color w:val="000000" w:themeColor="text1"/>
        </w:rPr>
        <w:t>граничение потребления жидкостивед</w:t>
      </w:r>
      <w:r w:rsidRPr="0044196C">
        <w:rPr>
          <w:color w:val="000000" w:themeColor="text1"/>
        </w:rPr>
        <w:t>ет</w:t>
      </w:r>
      <w:r w:rsidR="00913045" w:rsidRPr="0044196C">
        <w:rPr>
          <w:color w:val="000000" w:themeColor="text1"/>
        </w:rPr>
        <w:t xml:space="preserve"> к гиповолемии, </w:t>
      </w:r>
      <w:r w:rsidRPr="0044196C">
        <w:rPr>
          <w:color w:val="000000" w:themeColor="text1"/>
        </w:rPr>
        <w:t>сопровождается</w:t>
      </w:r>
      <w:r w:rsidR="00913045" w:rsidRPr="0044196C">
        <w:rPr>
          <w:color w:val="000000" w:themeColor="text1"/>
        </w:rPr>
        <w:t xml:space="preserve"> уменьшени</w:t>
      </w:r>
      <w:r w:rsidRPr="0044196C">
        <w:rPr>
          <w:color w:val="000000" w:themeColor="text1"/>
        </w:rPr>
        <w:t>ем</w:t>
      </w:r>
      <w:r w:rsidR="00913045" w:rsidRPr="0044196C">
        <w:rPr>
          <w:color w:val="000000" w:themeColor="text1"/>
        </w:rPr>
        <w:t xml:space="preserve"> перфузии почек и развити</w:t>
      </w:r>
      <w:r w:rsidRPr="0044196C">
        <w:rPr>
          <w:color w:val="000000" w:themeColor="text1"/>
        </w:rPr>
        <w:t>ем</w:t>
      </w:r>
      <w:r w:rsidR="00913045" w:rsidRPr="0044196C">
        <w:rPr>
          <w:color w:val="000000" w:themeColor="text1"/>
        </w:rPr>
        <w:t xml:space="preserve"> их хронической ишемии, патологической активаци</w:t>
      </w:r>
      <w:r w:rsidRPr="0044196C">
        <w:rPr>
          <w:color w:val="000000" w:themeColor="text1"/>
        </w:rPr>
        <w:t>ей</w:t>
      </w:r>
      <w:r w:rsidR="00CC2B3A" w:rsidRPr="0044196C">
        <w:rPr>
          <w:color w:val="000000" w:themeColor="text1"/>
        </w:rPr>
        <w:t xml:space="preserve"> </w:t>
      </w:r>
      <w:r w:rsidRPr="0044196C">
        <w:rPr>
          <w:color w:val="000000" w:themeColor="text1"/>
        </w:rPr>
        <w:t>РАС</w:t>
      </w:r>
      <w:r w:rsidR="00CC2B3A" w:rsidRPr="0044196C">
        <w:rPr>
          <w:color w:val="000000" w:themeColor="text1"/>
        </w:rPr>
        <w:t xml:space="preserve"> </w:t>
      </w:r>
      <w:r w:rsidR="00913045" w:rsidRPr="0044196C">
        <w:rPr>
          <w:color w:val="000000" w:themeColor="text1"/>
        </w:rPr>
        <w:t>и системы аргинин-вазопрессин</w:t>
      </w:r>
      <w:r w:rsidRPr="0044196C">
        <w:rPr>
          <w:color w:val="000000" w:themeColor="text1"/>
        </w:rPr>
        <w:t>, является причиной функциональной перегрузки канальцевого аппарата почек</w:t>
      </w:r>
      <w:r w:rsidR="008B3C6F" w:rsidRPr="0044196C">
        <w:rPr>
          <w:color w:val="000000" w:themeColor="text1"/>
        </w:rPr>
        <w:t>,фактором</w:t>
      </w:r>
      <w:r w:rsidRPr="0044196C">
        <w:rPr>
          <w:color w:val="000000" w:themeColor="text1"/>
        </w:rPr>
        <w:t xml:space="preserve"> риска </w:t>
      </w:r>
      <w:r w:rsidR="008B3C6F" w:rsidRPr="0044196C">
        <w:rPr>
          <w:color w:val="000000" w:themeColor="text1"/>
        </w:rPr>
        <w:t>его токсического повреждения вследствие высокой концентрированности мочи, развития инфекции мочевых путей</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"10.1097/MNH.0b013e328360a268", "ISSN" : "1473-6543", "PMID" : "23673384", "abstract" : "We are often told that we should be drinking more water, but the rationale for this remains unclear and no recommendations currently exist for a healthy fluid intake supported by rigorous scientific evidence. Crucially, the same lack of evidence precludes the claim that a high fluid intake has no clinical benefit. The aim of this study is to describe the mechanisms by which chronic low fluid intake may play a crucial role in the pathologies of four key diseases of the urinary system: urolithiasis, urinary tract infection, chronic kidney disease and bladder cancer. Although primary and secondary intervention studies evaluating the impact of fluid intake are lacking, published data from observational studies appears to suggest that chronic low fluid intake may be an important factor in the pathogenesis of these diseases.", "author" : [ { "dropping-particle" : "", "family" : "Lotan", "given" : "Yair", "non-dropping-particle" : "", "parse-names" : false, "suffix" : "" }, { "dropping-particle" : "", "family" : "Daudon", "given" : "Michel", "non-dropping-particle" : "", "parse-names" : false, "suffix" : "" }, { "dropping-particle" : "", "family" : "Bruy\u00e8re", "given" : "Franck", "non-dropping-particle" : "", "parse-names" : false, "suffix" : "" }, { "dropping-particle" : "", "family" : "Talaska", "given" : "Glenn", "non-dropping-particle" : "", "parse-names" : false, "suffix" : "" }, { "dropping-particle" : "", "family" : "Strippoli", "given" : "Giovanni", "non-dropping-particle" : "", "parse-names" : false, "suffix" : "" }, { "dropping-particle" : "", "family" : "Johnson", "given" : "Richard J", "non-dropping-particle" : "", "parse-names" : false, "suffix" : "" }, { "dropping-particle" : "", "family" : "Tack", "given" : "Ivan", "non-dropping-particle" : "", "parse-names" : false, "suffix" : "" } ], "container-title" : "Current opinion in nephrology and hypertension", "id" : "ITEM-1", "issue" : "Suppl 1", "issued" : { "date-parts" : [ [ "2013", "5" ] ] }, "page" : "S1-10", "title" : "Impact of fluid intake in the prevention of urinary system diseases: a brief review.", "type" : "article-journal", "volume" : "22 Suppl 1" }, "uris" : [ "http://www.mendeley.com/documents/?uuid=219ab894-4a4f-4a1c-b0d3-a296dcdd9429" ] } ], "mendeley" : { "previouslyFormattedCitation" : "[Lotan \u0438 \u0434\u0440., 2013]"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[Lotan и др., 2013]</w:t>
      </w:r>
      <w:r w:rsidR="009D7C63" w:rsidRPr="0044196C">
        <w:rPr>
          <w:color w:val="000000" w:themeColor="text1"/>
        </w:rPr>
        <w:fldChar w:fldCharType="end"/>
      </w:r>
      <w:r w:rsidR="00913045" w:rsidRPr="0044196C">
        <w:rPr>
          <w:color w:val="000000" w:themeColor="text1"/>
        </w:rPr>
        <w:t xml:space="preserve">. Неблагоприятное значение сниженного потребления жидкости в отношении функции почек было показано в эпидемиологических исследованиях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"10.2215/CJN.01990211", "ISSN" : "1555-905X", "PMID" : "21885793", "abstract" : "BACKGROUND AND OBJECTIVES: The effect of increased fluid intake on kidney function is unclear. This study evaluates the relationship between urine volume and renal decline over 6 years in a large community-based cohort. DESIGN, SETTING, PARTICIPANTS, &amp; MEASUREMENTS: This prospective cohort study was undertaken in Canada from 2002 to 2008. We obtained 24-hour urine samples from adult participants with an estimated GFR (eGFR) \u226560 ml/min per 1.73 m(2) at study entry. Percentage annual change in eGFR from baseline was categorized as average decline &lt;1% per year, between 1% and 4.9% (mild-to-moderate decline) or \u22655% (rapid decline). RESULTS: 2148 participants provided valid 24-hour urine samples, grouped as &lt;1 L/d (14.5%); 1 to 1.9 L/d (51.5%); 2 to 2.9 L/d (26.3%); and \u22653 L/d (7.7%). Baseline eGFR for each category of urine volume was 90, 88, 84, and 87 ml/min per 1.73 m(2), respectively. Overall, eGFR declined by 1% per year, with 10% demonstrating rapid decline and 40% demonstrating mild-to-moderate decline. An inverse, graded relationship was evident between urine volume and eGFR decline: For each increasing category of 24-hour urine volume, percentage annual eGFR decline was progressively slower, from 1.3%, 1.0%, 0.8%, to 0.5%, respectively; P = 0.02. Compared with those with urine volume 1 to 1.9 L/d, those with urine volume \u22653 L/d were significantly less likely to demonstrate mild-to-moderate decline (adjusted odds ratio 0.66; 95% confidence interval 0.46 to 0.94) or rapid decline (adjusted odds ratio 0.46; 95% confidence interval 0.23 to 0.92); adjusted for age, gender, baseline eGFR, medication use for hypertension (including diuretics), proteinuria, diabetes, and cardiovascular disease. CONCLUSIONS: In this community-based cohort, decline in kidney function was significantly slower in those with higher versus lower urine volume.", "author" : [ { "dropping-particle" : "", "family" : "Clark", "given" : "William F", "non-dropping-particle" : "", "parse-names" : false, "suffix" : "" }, { "dropping-particle" : "", "family" : "Sontrop", "given" : "Jessica M", "non-dropping-particle" : "", "parse-names" : false, "suffix" : "" }, { "dropping-particle" : "", "family" : "Macnab", "given" : "Jennifer J", "non-dropping-particle" : "", "parse-names" : false, "suffix" : "" }, { "dropping-particle" : "", "family" : "Suri", "given" : "Rita S", "non-dropping-particle" : "", "parse-names" : false, "suffix" : "" }, { "dropping-particle" : "", "family" : "Moist", "given" : "Louise", "non-dropping-particle" : "", "parse-names" : false, "suffix" : "" }, { "dropping-particle" : "", "family" : "Salvadori", "given" : "Marina", "non-dropping-particle" : "", "parse-names" : false, "suffix" : "" }, { "dropping-particle" : "", "family" : "Garg", "given" : "Amit X", "non-dropping-particle" : "", "parse-names" : false, "suffix" : "" } ], "container-title" : "Clinical journal of the American Society of Nephrology : CJASN", "id" : "ITEM-1", "issue" : "11", "issued" : { "date-parts" : [ [ "2011", "11" ] ] }, "page" : "2634-41", "title" : "Urine volume and change in estimated GFR in a community-based cohort study.", "type" : "article-journal", "volume" : "6" }, "uris" : [ "http://www.mendeley.com/documents/?uuid=2eb849e7-cd26-4630-8199-be32bfa13a0e" ] }, { "id" : "ITEM-2", "itemData" : { "DOI" : "10.1159/000350377", "ISSN" : "1421-9670", "PMID" : "23594828", "abstract" : "BACKGROUND: Evidence from animal and human studies suggests a protective effect of higher water intake on kidney function and cardiovascular disease (CVD). Here the associations between water intake, chronic kidney disease (CKD) and CVD were examined in the general population.\n\nMETHODS: We conducted a cross-sectional analysis of the 2005-2006 National Health and Nutrition Examination Survey. Non-pregnant adults with an estimated glomerular filtration rate (eGFR) \u226530 ml/min/1.73 m(2) who were not taking diuretics were included. Total water intake from foods and beverages was categorized as low (&lt;2.0 l/day), moderate (2.0-4.3 l/day) and high (&gt;4.3 l/day). We examined associations between low total water intake and CKD (eGFR 30-60 ml/min/1.73 m(2)) and self-reported CVD.\n\nRESULTS: Of 3,427 adults (mean age 46 (range 20-84); mean eGFR 95 ml/min/1.73 m(2) (range 30-161)), 13% had CKD and 18% had CVD. CKD was higher among those with the lowest (&lt;2.0 l/day) vs. highest total water intake (&gt;4.3 l/day) (adjusted odds ratio (OR) 2.52; 95% confidence interval (CI) 0.91-6.96). When stratified by intake of (1) plain water and (2) other beverages, CKD was associated with low intake of plain water: adjusted OR 2.36 (95% CI 1.10-5.06), but not other beverages: adjusted OR 0.87 (95% CI 0.30-2.50). There was no association between low water intake and CVD (adjusted OR 0.76; 95% CI 0.37-1.59).\n\nCONCLUSIONS: Our results provide additional evidence suggesting a potentially protective effect of higher total water intake, particularly plain water, on the kidney.", "author" : [ { "dropping-particle" : "", "family" : "Sontrop", "given" : "Jessica M", "non-dropping-particle" : "", "parse-names" : false, "suffix" : "" }, { "dropping-particle" : "", "family" : "Dixon", "given" : "Stephanie N", "non-dropping-particle" : "", "parse-names" : false, "suffix" : "" }, { "dropping-particle" : "", "family" : "Garg", "given" : "Amit X", "non-dropping-particle" : "", "parse-names" : false, "suffix" : "" }, { "dropping-particle" : "", "family" : "Buendia-Jimenez", "given" : "Inmaculada", "non-dropping-particle" : "", "parse-names" : false, "suffix" : "" }, { "dropping-particle" : "", "family" : "Dohein", "given" : "Oriane", "non-dropping-particle" : "", "parse-names" : false, "suffix" : "" }, { "dropping-particle" : "", "family" : "Huang", "given" : "Shih-Han S", "non-dropping-particle" : "", "parse-names" : false, "suffix" : "" }, { "dropping-particle" : "", "family" : "Clark", "given" : "William F", "non-dropping-particle" : "", "parse-names" : false, "suffix" : "" } ], "container-title" : "American journal of nephrology", "id" : "ITEM-2", "issue" : "5", "issued" : { "date-parts" : [ [ "2013", "1" ] ] }, "page" : "434-42", "title" : "Association between water intake, chronic kidney disease, and cardiovascular disease: a cross-sectional analysis of NHANES data.", "type" : "article-journal", "volume" : "37" }, "uris" : [ "http://www.mendeley.com/documents/?uuid=c6e64926-4267-4005-a64d-103bb4614067" ] } ], "mendeley" : { "previouslyFormattedCitation" : "[Clark \u0438 \u0434\u0440., 2011; Sontrop \u0438 \u0434\u0440., 2013]"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[Clark и др., 2011; Sontrop и др., 2013]</w:t>
      </w:r>
      <w:r w:rsidR="009D7C63" w:rsidRPr="0044196C">
        <w:rPr>
          <w:color w:val="000000" w:themeColor="text1"/>
        </w:rPr>
        <w:fldChar w:fldCharType="end"/>
      </w:r>
      <w:r w:rsidR="00913045" w:rsidRPr="0044196C">
        <w:rPr>
          <w:color w:val="000000" w:themeColor="text1"/>
        </w:rPr>
        <w:t>.</w:t>
      </w:r>
      <w:r w:rsidRPr="0044196C">
        <w:rPr>
          <w:color w:val="000000" w:themeColor="text1"/>
        </w:rPr>
        <w:t xml:space="preserve">В условиях гиповолемии существенно повышается риск побочных эффектов препаратов, подавляющих РАС (см. рекомендацию </w:t>
      </w:r>
      <w:fldSimple w:instr=" REF _Ref280187127 \n \h  \* MERGEFORMAT ">
        <w:r w:rsidRPr="0044196C">
          <w:rPr>
            <w:color w:val="000000" w:themeColor="text1"/>
          </w:rPr>
          <w:t>8.6</w:t>
        </w:r>
      </w:fldSimple>
      <w:r w:rsidRPr="0044196C">
        <w:rPr>
          <w:color w:val="000000" w:themeColor="text1"/>
        </w:rPr>
        <w:t>).</w:t>
      </w:r>
    </w:p>
    <w:p w:rsidR="00976DE8" w:rsidRPr="0044196C" w:rsidRDefault="00976DE8" w:rsidP="00976DE8">
      <w:pPr>
        <w:pStyle w:val="af4"/>
        <w:rPr>
          <w:color w:val="000000" w:themeColor="text1"/>
        </w:rPr>
      </w:pPr>
      <w:bookmarkStart w:id="53" w:name="_Ref279743127"/>
      <w:r w:rsidRPr="0044196C">
        <w:rPr>
          <w:color w:val="000000" w:themeColor="text1"/>
        </w:rPr>
        <w:lastRenderedPageBreak/>
        <w:t xml:space="preserve">Таблица </w:t>
      </w:r>
      <w:r w:rsidR="009D7C63" w:rsidRPr="0044196C">
        <w:rPr>
          <w:color w:val="000000" w:themeColor="text1"/>
        </w:rPr>
        <w:fldChar w:fldCharType="begin"/>
      </w:r>
      <w:r w:rsidR="009D7C63" w:rsidRPr="0044196C">
        <w:rPr>
          <w:color w:val="000000" w:themeColor="text1"/>
        </w:rPr>
        <w:instrText xml:space="preserve"> SEQ Таблица \* ARABIC </w:instrText>
      </w:r>
      <w:r w:rsidR="009D7C63" w:rsidRPr="0044196C">
        <w:rPr>
          <w:color w:val="000000" w:themeColor="text1"/>
        </w:rPr>
        <w:fldChar w:fldCharType="separate"/>
      </w:r>
      <w:r w:rsidR="00DF40EA" w:rsidRPr="0044196C">
        <w:rPr>
          <w:noProof/>
          <w:color w:val="000000" w:themeColor="text1"/>
        </w:rPr>
        <w:t>11</w:t>
      </w:r>
      <w:r w:rsidR="009D7C63" w:rsidRPr="0044196C">
        <w:rPr>
          <w:color w:val="000000" w:themeColor="text1"/>
        </w:rPr>
        <w:fldChar w:fldCharType="end"/>
      </w:r>
      <w:bookmarkEnd w:id="53"/>
    </w:p>
    <w:p w:rsidR="00976DE8" w:rsidRPr="0044196C" w:rsidRDefault="00976DE8" w:rsidP="00976DE8">
      <w:pPr>
        <w:keepNext/>
        <w:keepLines/>
        <w:jc w:val="center"/>
        <w:rPr>
          <w:rFonts w:eastAsia="Calibri"/>
          <w:b/>
          <w:color w:val="000000" w:themeColor="text1"/>
          <w:lang w:eastAsia="sr-Cyrl-CS"/>
        </w:rPr>
      </w:pPr>
      <w:r w:rsidRPr="0044196C">
        <w:rPr>
          <w:rFonts w:eastAsia="Calibri"/>
          <w:b/>
          <w:color w:val="000000" w:themeColor="text1"/>
          <w:lang w:eastAsia="sr-Cyrl-CS"/>
        </w:rPr>
        <w:t>Продукты, подлежащие исключению из рациона при различных нарушениях обмена у пациентов с ХБП</w:t>
      </w:r>
    </w:p>
    <w:p w:rsidR="00976DE8" w:rsidRPr="0044196C" w:rsidRDefault="00976DE8" w:rsidP="00976DE8">
      <w:pPr>
        <w:keepNext/>
        <w:keepLines/>
        <w:spacing w:before="60" w:after="60"/>
        <w:contextualSpacing/>
        <w:rPr>
          <w:i/>
          <w:color w:val="000000" w:themeColor="text1"/>
          <w:sz w:val="10"/>
          <w:lang w:eastAsia="sr-Cyrl-CS"/>
        </w:rPr>
      </w:pPr>
    </w:p>
    <w:tbl>
      <w:tblPr>
        <w:tblW w:w="5000" w:type="pct"/>
        <w:tblCellMar>
          <w:left w:w="10" w:type="dxa"/>
          <w:right w:w="10" w:type="dxa"/>
        </w:tblCellMar>
        <w:tblLook w:val="0000"/>
      </w:tblPr>
      <w:tblGrid>
        <w:gridCol w:w="3369"/>
        <w:gridCol w:w="6104"/>
      </w:tblGrid>
      <w:tr w:rsidR="00976DE8" w:rsidRPr="0044196C" w:rsidTr="00976DE8">
        <w:trPr>
          <w:trHeight w:val="762"/>
        </w:trPr>
        <w:tc>
          <w:tcPr>
            <w:tcW w:w="1778" w:type="pct"/>
            <w:shd w:val="clear" w:color="auto" w:fill="365F91" w:themeFill="accent1" w:themeFillShade="BF"/>
            <w:tcMar>
              <w:top w:w="0" w:type="dxa"/>
              <w:left w:w="108" w:type="dxa"/>
              <w:bottom w:w="0" w:type="dxa"/>
              <w:right w:w="108" w:type="dxa"/>
            </w:tcMar>
            <w:vAlign w:val="center"/>
          </w:tcPr>
          <w:p w:rsidR="00976DE8" w:rsidRPr="0044196C" w:rsidRDefault="00976DE8" w:rsidP="00976DE8">
            <w:pPr>
              <w:keepNext/>
              <w:keepLines/>
              <w:suppressAutoHyphens/>
              <w:autoSpaceDN w:val="0"/>
              <w:spacing w:before="20" w:after="20" w:line="240" w:lineRule="auto"/>
              <w:ind w:firstLine="0"/>
              <w:jc w:val="center"/>
              <w:textAlignment w:val="baseline"/>
              <w:rPr>
                <w:rFonts w:asciiTheme="minorHAnsi" w:hAnsiTheme="minorHAnsi"/>
                <w:b/>
                <w:color w:val="000000" w:themeColor="text1"/>
                <w:kern w:val="3"/>
                <w:sz w:val="28"/>
                <w:szCs w:val="26"/>
              </w:rPr>
            </w:pPr>
            <w:r w:rsidRPr="0044196C">
              <w:rPr>
                <w:rFonts w:asciiTheme="minorHAnsi" w:hAnsiTheme="minorHAnsi"/>
                <w:b/>
                <w:color w:val="000000" w:themeColor="text1"/>
                <w:sz w:val="28"/>
                <w:lang w:eastAsia="sr-Cyrl-CS"/>
              </w:rPr>
              <w:t>Нарушение обмена</w:t>
            </w:r>
          </w:p>
        </w:tc>
        <w:tc>
          <w:tcPr>
            <w:tcW w:w="3222" w:type="pct"/>
            <w:shd w:val="clear" w:color="auto" w:fill="365F91" w:themeFill="accent1" w:themeFillShade="BF"/>
            <w:vAlign w:val="center"/>
          </w:tcPr>
          <w:p w:rsidR="00976DE8" w:rsidRPr="0044196C" w:rsidRDefault="00976DE8" w:rsidP="00976DE8">
            <w:pPr>
              <w:keepNext/>
              <w:keepLines/>
              <w:suppressAutoHyphens/>
              <w:autoSpaceDN w:val="0"/>
              <w:spacing w:before="20" w:after="20" w:line="240" w:lineRule="auto"/>
              <w:ind w:firstLine="41"/>
              <w:jc w:val="center"/>
              <w:textAlignment w:val="baseline"/>
              <w:rPr>
                <w:rFonts w:asciiTheme="minorHAnsi" w:hAnsiTheme="minorHAnsi"/>
                <w:b/>
                <w:color w:val="000000" w:themeColor="text1"/>
                <w:kern w:val="3"/>
                <w:sz w:val="28"/>
                <w:szCs w:val="26"/>
              </w:rPr>
            </w:pPr>
            <w:r w:rsidRPr="0044196C">
              <w:rPr>
                <w:rFonts w:asciiTheme="minorHAnsi" w:hAnsiTheme="minorHAnsi"/>
                <w:b/>
                <w:color w:val="000000" w:themeColor="text1"/>
                <w:sz w:val="28"/>
                <w:lang w:eastAsia="sr-Cyrl-CS"/>
              </w:rPr>
              <w:t>Нежелательные продукты</w:t>
            </w:r>
          </w:p>
        </w:tc>
      </w:tr>
      <w:tr w:rsidR="00976DE8" w:rsidRPr="0044196C" w:rsidTr="00976DE8">
        <w:tc>
          <w:tcPr>
            <w:tcW w:w="1778" w:type="pct"/>
            <w:shd w:val="clear" w:color="auto" w:fill="DBE5F1" w:themeFill="accent1" w:themeFillTint="33"/>
            <w:tcMar>
              <w:top w:w="0" w:type="dxa"/>
              <w:left w:w="108" w:type="dxa"/>
              <w:bottom w:w="0" w:type="dxa"/>
              <w:right w:w="108" w:type="dxa"/>
            </w:tcMar>
          </w:tcPr>
          <w:p w:rsidR="00976DE8" w:rsidRPr="0044196C" w:rsidRDefault="00976DE8" w:rsidP="00976DE8">
            <w:pPr>
              <w:keepNext/>
              <w:keepLines/>
              <w:suppressAutoHyphens/>
              <w:autoSpaceDN w:val="0"/>
              <w:spacing w:before="20" w:after="20" w:line="240" w:lineRule="auto"/>
              <w:ind w:firstLine="0"/>
              <w:jc w:val="left"/>
              <w:textAlignment w:val="baseline"/>
              <w:rPr>
                <w:rFonts w:asciiTheme="minorHAnsi" w:hAnsiTheme="minorHAnsi"/>
                <w:color w:val="000000" w:themeColor="text1"/>
                <w:kern w:val="3"/>
              </w:rPr>
            </w:pPr>
            <w:r w:rsidRPr="0044196C">
              <w:rPr>
                <w:rFonts w:asciiTheme="minorHAnsi" w:hAnsiTheme="minorHAnsi"/>
                <w:b/>
                <w:color w:val="000000" w:themeColor="text1"/>
                <w:sz w:val="22"/>
                <w:lang w:eastAsia="sr-Cyrl-CS"/>
              </w:rPr>
              <w:t>Нарушение пуринового обмена</w:t>
            </w:r>
            <w:r w:rsidRPr="0044196C">
              <w:rPr>
                <w:rFonts w:asciiTheme="minorHAnsi" w:hAnsiTheme="minorHAnsi"/>
                <w:color w:val="000000" w:themeColor="text1"/>
                <w:sz w:val="22"/>
                <w:lang w:eastAsia="sr-Cyrl-CS"/>
              </w:rPr>
              <w:t xml:space="preserve">. </w:t>
            </w:r>
            <w:r w:rsidRPr="0044196C">
              <w:rPr>
                <w:rFonts w:asciiTheme="minorHAnsi" w:hAnsiTheme="minorHAnsi"/>
                <w:color w:val="000000" w:themeColor="text1"/>
                <w:sz w:val="22"/>
                <w:lang w:eastAsia="sr-Cyrl-CS"/>
              </w:rPr>
              <w:br/>
              <w:t xml:space="preserve">Гиперурикемия: Мочевая кислота в сыворотке крови </w:t>
            </w:r>
            <w:r w:rsidRPr="0044196C">
              <w:rPr>
                <w:rFonts w:asciiTheme="minorHAnsi" w:hAnsiTheme="minorHAnsi"/>
                <w:color w:val="000000" w:themeColor="text1"/>
                <w:sz w:val="22"/>
                <w:lang w:eastAsia="sr-Cyrl-CS"/>
              </w:rPr>
              <w:br/>
              <w:t xml:space="preserve">для мужчин &lt; 415 мкмоль/л, </w:t>
            </w:r>
            <w:r w:rsidRPr="0044196C">
              <w:rPr>
                <w:rFonts w:asciiTheme="minorHAnsi" w:hAnsiTheme="minorHAnsi"/>
                <w:color w:val="000000" w:themeColor="text1"/>
                <w:sz w:val="22"/>
                <w:lang w:eastAsia="sr-Cyrl-CS"/>
              </w:rPr>
              <w:br/>
              <w:t>для женщин &lt; 385 мкмоль/л</w:t>
            </w:r>
          </w:p>
        </w:tc>
        <w:tc>
          <w:tcPr>
            <w:tcW w:w="3222" w:type="pct"/>
            <w:shd w:val="clear" w:color="auto" w:fill="DBE5F1" w:themeFill="accent1" w:themeFillTint="33"/>
            <w:tcMar>
              <w:top w:w="0" w:type="dxa"/>
              <w:left w:w="108" w:type="dxa"/>
              <w:bottom w:w="0" w:type="dxa"/>
              <w:right w:w="108" w:type="dxa"/>
            </w:tcMar>
          </w:tcPr>
          <w:p w:rsidR="00976DE8" w:rsidRPr="0044196C" w:rsidRDefault="00976DE8" w:rsidP="00976DE8">
            <w:pPr>
              <w:keepNext/>
              <w:keepLines/>
              <w:suppressAutoHyphens/>
              <w:autoSpaceDN w:val="0"/>
              <w:spacing w:before="20" w:after="20" w:line="240" w:lineRule="auto"/>
              <w:ind w:firstLine="0"/>
              <w:jc w:val="left"/>
              <w:textAlignment w:val="baseline"/>
              <w:rPr>
                <w:rFonts w:asciiTheme="minorHAnsi" w:hAnsiTheme="minorHAnsi"/>
                <w:color w:val="000000" w:themeColor="text1"/>
                <w:kern w:val="3"/>
              </w:rPr>
            </w:pPr>
            <w:r w:rsidRPr="0044196C">
              <w:rPr>
                <w:rFonts w:asciiTheme="minorHAnsi" w:hAnsiTheme="minorHAnsi"/>
                <w:color w:val="000000" w:themeColor="text1"/>
                <w:sz w:val="22"/>
                <w:lang w:eastAsia="sr-Cyrl-CS"/>
              </w:rPr>
              <w:t xml:space="preserve">Наваристые бульоны, субпродукты – печень, почки, сердце, язык и т.д., паштеты, колбасные изделия, полуфабрикаты, телятина, свинина (можно в ограниченном количестве говядина, птица), пищевые концентраты – бульонные кубики, супы из пакетика и т.д., копчености, мясные и рыбные консервы, продукты быстрого приготовления (fastfood), </w:t>
            </w:r>
            <w:r w:rsidRPr="0044196C">
              <w:rPr>
                <w:rFonts w:asciiTheme="minorHAnsi" w:hAnsiTheme="minorHAnsi"/>
                <w:b/>
                <w:color w:val="000000" w:themeColor="text1"/>
                <w:sz w:val="22"/>
                <w:lang w:eastAsia="sr-Cyrl-CS"/>
              </w:rPr>
              <w:t>бобовые – зеленый горошек, фасоль, бобы, чечевица, продукты из сои</w:t>
            </w:r>
            <w:r w:rsidRPr="0044196C">
              <w:rPr>
                <w:rFonts w:asciiTheme="minorHAnsi" w:hAnsiTheme="minorHAnsi"/>
                <w:color w:val="000000" w:themeColor="text1"/>
                <w:sz w:val="22"/>
                <w:lang w:eastAsia="sr-Cyrl-CS"/>
              </w:rPr>
              <w:t xml:space="preserve">, какао, шоколад, мед, </w:t>
            </w:r>
            <w:r w:rsidRPr="0044196C">
              <w:rPr>
                <w:rFonts w:asciiTheme="minorHAnsi" w:hAnsiTheme="minorHAnsi"/>
                <w:b/>
                <w:color w:val="000000" w:themeColor="text1"/>
                <w:sz w:val="22"/>
                <w:lang w:eastAsia="sr-Cyrl-CS"/>
              </w:rPr>
              <w:t>орехи</w:t>
            </w:r>
            <w:r w:rsidRPr="0044196C">
              <w:rPr>
                <w:rFonts w:asciiTheme="minorHAnsi" w:hAnsiTheme="minorHAnsi"/>
                <w:color w:val="000000" w:themeColor="text1"/>
                <w:sz w:val="22"/>
                <w:lang w:eastAsia="sr-Cyrl-CS"/>
              </w:rPr>
              <w:t xml:space="preserve">, </w:t>
            </w:r>
            <w:r w:rsidRPr="0044196C">
              <w:rPr>
                <w:rFonts w:asciiTheme="minorHAnsi" w:hAnsiTheme="minorHAnsi"/>
                <w:b/>
                <w:color w:val="000000" w:themeColor="text1"/>
                <w:sz w:val="22"/>
                <w:lang w:eastAsia="sr-Cyrl-CS"/>
              </w:rPr>
              <w:t>семечки</w:t>
            </w:r>
            <w:r w:rsidRPr="0044196C">
              <w:rPr>
                <w:rFonts w:asciiTheme="minorHAnsi" w:hAnsiTheme="minorHAnsi"/>
                <w:color w:val="000000" w:themeColor="text1"/>
                <w:sz w:val="22"/>
                <w:lang w:eastAsia="sr-Cyrl-CS"/>
              </w:rPr>
              <w:t>, крепкий черный чай и кофе, виноград, изюм, виноградные вина и коньяки.</w:t>
            </w:r>
          </w:p>
        </w:tc>
      </w:tr>
      <w:tr w:rsidR="00976DE8" w:rsidRPr="0044196C" w:rsidTr="00976DE8">
        <w:tc>
          <w:tcPr>
            <w:tcW w:w="1778" w:type="pct"/>
            <w:shd w:val="clear" w:color="auto" w:fill="B8CCE4" w:themeFill="accent1" w:themeFillTint="66"/>
            <w:tcMar>
              <w:top w:w="0" w:type="dxa"/>
              <w:left w:w="108" w:type="dxa"/>
              <w:bottom w:w="0" w:type="dxa"/>
              <w:right w:w="108" w:type="dxa"/>
            </w:tcMar>
          </w:tcPr>
          <w:p w:rsidR="00976DE8" w:rsidRPr="0044196C" w:rsidRDefault="00976DE8" w:rsidP="00976DE8">
            <w:pPr>
              <w:keepNext/>
              <w:keepLines/>
              <w:spacing w:before="60" w:after="60"/>
              <w:ind w:firstLine="0"/>
              <w:contextualSpacing/>
              <w:jc w:val="left"/>
              <w:rPr>
                <w:rFonts w:asciiTheme="minorHAnsi" w:hAnsiTheme="minorHAnsi"/>
                <w:color w:val="000000" w:themeColor="text1"/>
                <w:lang w:eastAsia="sr-Cyrl-CS"/>
              </w:rPr>
            </w:pPr>
            <w:r w:rsidRPr="0044196C">
              <w:rPr>
                <w:rFonts w:asciiTheme="minorHAnsi" w:hAnsiTheme="minorHAnsi"/>
                <w:b/>
                <w:color w:val="000000" w:themeColor="text1"/>
                <w:sz w:val="22"/>
                <w:lang w:eastAsia="sr-Cyrl-CS"/>
              </w:rPr>
              <w:t>Нарушение фосфорно-кальциевого обмена</w:t>
            </w:r>
            <w:r w:rsidRPr="0044196C">
              <w:rPr>
                <w:rFonts w:asciiTheme="minorHAnsi" w:hAnsiTheme="minorHAnsi"/>
                <w:color w:val="000000" w:themeColor="text1"/>
                <w:sz w:val="22"/>
                <w:lang w:eastAsia="sr-Cyrl-CS"/>
              </w:rPr>
              <w:t>:</w:t>
            </w:r>
          </w:p>
          <w:p w:rsidR="00976DE8" w:rsidRPr="0044196C" w:rsidRDefault="00976DE8" w:rsidP="00976DE8">
            <w:pPr>
              <w:keepNext/>
              <w:keepLines/>
              <w:spacing w:before="60" w:after="60"/>
              <w:ind w:firstLine="0"/>
              <w:contextualSpacing/>
              <w:jc w:val="left"/>
              <w:rPr>
                <w:rFonts w:asciiTheme="minorHAnsi" w:hAnsiTheme="minorHAnsi"/>
                <w:color w:val="000000" w:themeColor="text1"/>
                <w:lang w:eastAsia="sr-Cyrl-CS"/>
              </w:rPr>
            </w:pPr>
            <w:r w:rsidRPr="0044196C">
              <w:rPr>
                <w:rFonts w:asciiTheme="minorHAnsi" w:hAnsiTheme="minorHAnsi"/>
                <w:color w:val="000000" w:themeColor="text1"/>
                <w:sz w:val="22"/>
                <w:lang w:eastAsia="sr-Cyrl-CS"/>
              </w:rPr>
              <w:t>Гиперфосфатемия:</w:t>
            </w:r>
          </w:p>
          <w:p w:rsidR="00976DE8" w:rsidRPr="0044196C" w:rsidRDefault="00976DE8" w:rsidP="00976DE8">
            <w:pPr>
              <w:keepNext/>
              <w:keepLines/>
              <w:suppressAutoHyphens/>
              <w:autoSpaceDN w:val="0"/>
              <w:spacing w:before="20" w:after="20" w:line="240" w:lineRule="auto"/>
              <w:ind w:firstLine="0"/>
              <w:jc w:val="left"/>
              <w:textAlignment w:val="baseline"/>
              <w:rPr>
                <w:rFonts w:asciiTheme="minorHAnsi" w:hAnsiTheme="minorHAnsi"/>
                <w:b/>
                <w:color w:val="000000" w:themeColor="text1"/>
                <w:kern w:val="3"/>
              </w:rPr>
            </w:pPr>
            <w:r w:rsidRPr="0044196C">
              <w:rPr>
                <w:rFonts w:asciiTheme="minorHAnsi" w:hAnsiTheme="minorHAnsi"/>
                <w:color w:val="000000" w:themeColor="text1"/>
                <w:sz w:val="22"/>
                <w:lang w:eastAsia="sr-Cyrl-CS"/>
              </w:rPr>
              <w:t>Фосфор &gt; 1,4 ммоль/л</w:t>
            </w:r>
          </w:p>
        </w:tc>
        <w:tc>
          <w:tcPr>
            <w:tcW w:w="3222" w:type="pct"/>
            <w:shd w:val="clear" w:color="auto" w:fill="B8CCE4" w:themeFill="accent1" w:themeFillTint="66"/>
            <w:tcMar>
              <w:top w:w="0" w:type="dxa"/>
              <w:left w:w="108" w:type="dxa"/>
              <w:bottom w:w="0" w:type="dxa"/>
              <w:right w:w="108" w:type="dxa"/>
            </w:tcMar>
          </w:tcPr>
          <w:p w:rsidR="00976DE8" w:rsidRPr="0044196C" w:rsidRDefault="00976DE8" w:rsidP="00976DE8">
            <w:pPr>
              <w:keepNext/>
              <w:keepLines/>
              <w:spacing w:before="60" w:after="60"/>
              <w:ind w:firstLine="0"/>
              <w:contextualSpacing/>
              <w:jc w:val="left"/>
              <w:rPr>
                <w:rFonts w:asciiTheme="minorHAnsi" w:hAnsiTheme="minorHAnsi"/>
                <w:color w:val="000000" w:themeColor="text1"/>
                <w:lang w:eastAsia="sr-Cyrl-CS"/>
              </w:rPr>
            </w:pPr>
            <w:r w:rsidRPr="0044196C">
              <w:rPr>
                <w:rFonts w:asciiTheme="minorHAnsi" w:hAnsiTheme="minorHAnsi"/>
                <w:color w:val="000000" w:themeColor="text1"/>
                <w:sz w:val="22"/>
                <w:lang w:eastAsia="sr-Cyrl-CS"/>
              </w:rPr>
              <w:t xml:space="preserve">Те же продукты, что при нарушении пуринового обмена </w:t>
            </w:r>
            <w:r w:rsidRPr="0044196C">
              <w:rPr>
                <w:rFonts w:asciiTheme="minorHAnsi" w:hAnsiTheme="minorHAnsi"/>
                <w:color w:val="000000" w:themeColor="text1"/>
                <w:sz w:val="22"/>
                <w:lang w:eastAsia="sr-Cyrl-CS"/>
              </w:rPr>
              <w:br/>
              <w:t>(см. выше).</w:t>
            </w:r>
          </w:p>
          <w:p w:rsidR="00976DE8" w:rsidRPr="0044196C" w:rsidRDefault="00976DE8" w:rsidP="00976DE8">
            <w:pPr>
              <w:keepNext/>
              <w:keepLines/>
              <w:suppressAutoHyphens/>
              <w:autoSpaceDN w:val="0"/>
              <w:spacing w:before="20" w:after="20" w:line="240" w:lineRule="auto"/>
              <w:ind w:firstLine="0"/>
              <w:jc w:val="left"/>
              <w:textAlignment w:val="baseline"/>
              <w:rPr>
                <w:rFonts w:asciiTheme="minorHAnsi" w:hAnsiTheme="minorHAnsi"/>
                <w:color w:val="000000" w:themeColor="text1"/>
                <w:kern w:val="3"/>
              </w:rPr>
            </w:pPr>
            <w:r w:rsidRPr="0044196C">
              <w:rPr>
                <w:rFonts w:asciiTheme="minorHAnsi" w:hAnsiTheme="minorHAnsi"/>
                <w:color w:val="000000" w:themeColor="text1"/>
                <w:sz w:val="22"/>
                <w:lang w:eastAsia="sr-Cyrl-CS"/>
              </w:rPr>
              <w:t xml:space="preserve">Дополнительно ограничить: </w:t>
            </w:r>
            <w:r w:rsidRPr="0044196C">
              <w:rPr>
                <w:rFonts w:asciiTheme="minorHAnsi" w:hAnsiTheme="minorHAnsi"/>
                <w:b/>
                <w:color w:val="000000" w:themeColor="text1"/>
                <w:sz w:val="22"/>
                <w:lang w:eastAsia="sr-Cyrl-CS"/>
              </w:rPr>
              <w:t>морскую и речную рыбу</w:t>
            </w:r>
            <w:r w:rsidRPr="0044196C">
              <w:rPr>
                <w:rFonts w:asciiTheme="minorHAnsi" w:hAnsiTheme="minorHAnsi"/>
                <w:color w:val="000000" w:themeColor="text1"/>
                <w:sz w:val="22"/>
                <w:lang w:eastAsia="sr-Cyrl-CS"/>
              </w:rPr>
              <w:t xml:space="preserve"> (не более 1 раза в неделю), креветки, икру, сыры, крупы – </w:t>
            </w:r>
            <w:r w:rsidRPr="0044196C">
              <w:rPr>
                <w:rFonts w:asciiTheme="minorHAnsi" w:hAnsiTheme="minorHAnsi"/>
                <w:b/>
                <w:color w:val="000000" w:themeColor="text1"/>
                <w:sz w:val="22"/>
                <w:lang w:eastAsia="sr-Cyrl-CS"/>
              </w:rPr>
              <w:t>овсяную, гречневую</w:t>
            </w:r>
            <w:r w:rsidRPr="0044196C">
              <w:rPr>
                <w:rFonts w:asciiTheme="minorHAnsi" w:hAnsiTheme="minorHAnsi"/>
                <w:color w:val="000000" w:themeColor="text1"/>
                <w:sz w:val="22"/>
                <w:lang w:eastAsia="sr-Cyrl-CS"/>
              </w:rPr>
              <w:t xml:space="preserve">, пшенную, манную (кроме риса и кукурузы), </w:t>
            </w:r>
            <w:r w:rsidRPr="0044196C">
              <w:rPr>
                <w:rFonts w:asciiTheme="minorHAnsi" w:hAnsiTheme="minorHAnsi"/>
                <w:b/>
                <w:color w:val="000000" w:themeColor="text1"/>
                <w:sz w:val="22"/>
                <w:lang w:eastAsia="sr-Cyrl-CS"/>
              </w:rPr>
              <w:t>отруби</w:t>
            </w:r>
          </w:p>
        </w:tc>
      </w:tr>
      <w:tr w:rsidR="00976DE8" w:rsidRPr="0044196C" w:rsidTr="00976DE8">
        <w:tc>
          <w:tcPr>
            <w:tcW w:w="1778" w:type="pct"/>
            <w:shd w:val="clear" w:color="auto" w:fill="DBE5F1" w:themeFill="accent1" w:themeFillTint="33"/>
            <w:tcMar>
              <w:top w:w="0" w:type="dxa"/>
              <w:left w:w="108" w:type="dxa"/>
              <w:bottom w:w="0" w:type="dxa"/>
              <w:right w:w="108" w:type="dxa"/>
            </w:tcMar>
          </w:tcPr>
          <w:p w:rsidR="00976DE8" w:rsidRPr="0044196C" w:rsidRDefault="00976DE8" w:rsidP="00976DE8">
            <w:pPr>
              <w:keepNext/>
              <w:keepLines/>
              <w:spacing w:before="60" w:after="60"/>
              <w:ind w:firstLine="0"/>
              <w:contextualSpacing/>
              <w:jc w:val="left"/>
              <w:rPr>
                <w:rFonts w:asciiTheme="minorHAnsi" w:hAnsiTheme="minorHAnsi"/>
                <w:b/>
                <w:color w:val="000000" w:themeColor="text1"/>
                <w:lang w:eastAsia="sr-Cyrl-CS"/>
              </w:rPr>
            </w:pPr>
            <w:r w:rsidRPr="0044196C">
              <w:rPr>
                <w:rFonts w:asciiTheme="minorHAnsi" w:hAnsiTheme="minorHAnsi"/>
                <w:b/>
                <w:color w:val="000000" w:themeColor="text1"/>
                <w:sz w:val="22"/>
                <w:lang w:eastAsia="sr-Cyrl-CS"/>
              </w:rPr>
              <w:t>Гиперкалиемия</w:t>
            </w:r>
          </w:p>
          <w:p w:rsidR="00976DE8" w:rsidRPr="0044196C" w:rsidRDefault="00976DE8" w:rsidP="00976DE8">
            <w:pPr>
              <w:keepNext/>
              <w:keepLines/>
              <w:suppressAutoHyphens/>
              <w:autoSpaceDN w:val="0"/>
              <w:spacing w:before="20" w:after="20" w:line="240" w:lineRule="auto"/>
              <w:ind w:firstLine="0"/>
              <w:jc w:val="left"/>
              <w:textAlignment w:val="baseline"/>
              <w:rPr>
                <w:rFonts w:asciiTheme="minorHAnsi" w:hAnsiTheme="minorHAnsi"/>
                <w:b/>
                <w:color w:val="000000" w:themeColor="text1"/>
                <w:kern w:val="3"/>
              </w:rPr>
            </w:pPr>
            <w:r w:rsidRPr="0044196C">
              <w:rPr>
                <w:rFonts w:asciiTheme="minorHAnsi" w:hAnsiTheme="minorHAnsi"/>
                <w:color w:val="000000" w:themeColor="text1"/>
                <w:sz w:val="22"/>
                <w:lang w:eastAsia="sr-Cyrl-CS"/>
              </w:rPr>
              <w:t xml:space="preserve">Калий </w:t>
            </w:r>
            <w:r w:rsidRPr="0044196C">
              <w:rPr>
                <w:rFonts w:asciiTheme="minorHAnsi" w:hAnsiTheme="minorHAnsi"/>
                <w:color w:val="000000" w:themeColor="text1"/>
                <w:sz w:val="22"/>
                <w:lang w:val="en-US" w:eastAsia="sr-Cyrl-CS"/>
              </w:rPr>
              <w:t>&gt;</w:t>
            </w:r>
            <w:r w:rsidRPr="0044196C">
              <w:rPr>
                <w:rFonts w:asciiTheme="minorHAnsi" w:hAnsiTheme="minorHAnsi"/>
                <w:color w:val="000000" w:themeColor="text1"/>
                <w:sz w:val="22"/>
                <w:lang w:eastAsia="sr-Cyrl-CS"/>
              </w:rPr>
              <w:t xml:space="preserve"> 5,2 ммоль/л</w:t>
            </w:r>
          </w:p>
        </w:tc>
        <w:tc>
          <w:tcPr>
            <w:tcW w:w="3222" w:type="pct"/>
            <w:shd w:val="clear" w:color="auto" w:fill="DBE5F1" w:themeFill="accent1" w:themeFillTint="33"/>
            <w:tcMar>
              <w:top w:w="0" w:type="dxa"/>
              <w:left w:w="108" w:type="dxa"/>
              <w:bottom w:w="0" w:type="dxa"/>
              <w:right w:w="108" w:type="dxa"/>
            </w:tcMar>
          </w:tcPr>
          <w:p w:rsidR="00976DE8" w:rsidRPr="0044196C" w:rsidRDefault="00976DE8" w:rsidP="00976DE8">
            <w:pPr>
              <w:keepNext/>
              <w:keepLines/>
              <w:spacing w:before="60" w:after="60"/>
              <w:ind w:firstLine="0"/>
              <w:contextualSpacing/>
              <w:jc w:val="left"/>
              <w:rPr>
                <w:rFonts w:asciiTheme="minorHAnsi" w:hAnsiTheme="minorHAnsi"/>
                <w:color w:val="000000" w:themeColor="text1"/>
                <w:lang w:eastAsia="sr-Cyrl-CS"/>
              </w:rPr>
            </w:pPr>
            <w:r w:rsidRPr="0044196C">
              <w:rPr>
                <w:rFonts w:asciiTheme="minorHAnsi" w:hAnsiTheme="minorHAnsi"/>
                <w:color w:val="000000" w:themeColor="text1"/>
                <w:sz w:val="22"/>
                <w:lang w:eastAsia="sr-Cyrl-CS"/>
              </w:rPr>
              <w:t xml:space="preserve">Те же продукты, что при нарушении пуринового обмена </w:t>
            </w:r>
            <w:r w:rsidRPr="0044196C">
              <w:rPr>
                <w:rFonts w:asciiTheme="minorHAnsi" w:hAnsiTheme="minorHAnsi"/>
                <w:color w:val="000000" w:themeColor="text1"/>
                <w:sz w:val="22"/>
                <w:lang w:eastAsia="sr-Cyrl-CS"/>
              </w:rPr>
              <w:br/>
              <w:t>(см. выше).</w:t>
            </w:r>
          </w:p>
          <w:p w:rsidR="00976DE8" w:rsidRPr="0044196C" w:rsidRDefault="00976DE8" w:rsidP="00976DE8">
            <w:pPr>
              <w:keepNext/>
              <w:keepLines/>
              <w:spacing w:before="60" w:after="60"/>
              <w:ind w:firstLine="0"/>
              <w:contextualSpacing/>
              <w:jc w:val="left"/>
              <w:rPr>
                <w:rFonts w:asciiTheme="minorHAnsi" w:hAnsiTheme="minorHAnsi"/>
                <w:color w:val="000000" w:themeColor="text1"/>
                <w:lang w:eastAsia="sr-Cyrl-CS"/>
              </w:rPr>
            </w:pPr>
            <w:r w:rsidRPr="0044196C">
              <w:rPr>
                <w:rFonts w:asciiTheme="minorHAnsi" w:hAnsiTheme="minorHAnsi"/>
                <w:color w:val="000000" w:themeColor="text1"/>
                <w:sz w:val="22"/>
                <w:lang w:eastAsia="sr-Cyrl-CS"/>
              </w:rPr>
              <w:t xml:space="preserve">Дополнительно исключить: </w:t>
            </w:r>
            <w:r w:rsidRPr="0044196C">
              <w:rPr>
                <w:rFonts w:asciiTheme="minorHAnsi" w:hAnsiTheme="minorHAnsi"/>
                <w:b/>
                <w:color w:val="000000" w:themeColor="text1"/>
                <w:sz w:val="22"/>
                <w:lang w:eastAsia="sr-Cyrl-CS"/>
              </w:rPr>
              <w:t xml:space="preserve">курагу, инжир, </w:t>
            </w:r>
            <w:r w:rsidRPr="0044196C">
              <w:rPr>
                <w:rFonts w:asciiTheme="minorHAnsi" w:hAnsiTheme="minorHAnsi"/>
                <w:color w:val="000000" w:themeColor="text1"/>
                <w:sz w:val="22"/>
                <w:lang w:eastAsia="sr-Cyrl-CS"/>
              </w:rPr>
              <w:t xml:space="preserve">бананы, </w:t>
            </w:r>
            <w:r w:rsidRPr="0044196C">
              <w:rPr>
                <w:rFonts w:asciiTheme="minorHAnsi" w:hAnsiTheme="minorHAnsi"/>
                <w:b/>
                <w:color w:val="000000" w:themeColor="text1"/>
                <w:sz w:val="22"/>
                <w:lang w:eastAsia="sr-Cyrl-CS"/>
              </w:rPr>
              <w:t>абрикосы, персики, нектарин</w:t>
            </w:r>
            <w:r w:rsidRPr="0044196C">
              <w:rPr>
                <w:rFonts w:asciiTheme="minorHAnsi" w:hAnsiTheme="minorHAnsi"/>
                <w:color w:val="000000" w:themeColor="text1"/>
                <w:sz w:val="22"/>
                <w:lang w:eastAsia="sr-Cyrl-CS"/>
              </w:rPr>
              <w:t xml:space="preserve">, </w:t>
            </w:r>
            <w:r w:rsidRPr="0044196C">
              <w:rPr>
                <w:rFonts w:asciiTheme="minorHAnsi" w:hAnsiTheme="minorHAnsi"/>
                <w:b/>
                <w:color w:val="000000" w:themeColor="text1"/>
                <w:sz w:val="22"/>
                <w:lang w:eastAsia="sr-Cyrl-CS"/>
              </w:rPr>
              <w:t>ананасы</w:t>
            </w:r>
            <w:r w:rsidRPr="0044196C">
              <w:rPr>
                <w:rFonts w:asciiTheme="minorHAnsi" w:hAnsiTheme="minorHAnsi"/>
                <w:color w:val="000000" w:themeColor="text1"/>
                <w:sz w:val="22"/>
                <w:lang w:eastAsia="sr-Cyrl-CS"/>
              </w:rPr>
              <w:t xml:space="preserve">, </w:t>
            </w:r>
            <w:r w:rsidRPr="0044196C">
              <w:rPr>
                <w:rFonts w:asciiTheme="minorHAnsi" w:hAnsiTheme="minorHAnsi"/>
                <w:b/>
                <w:color w:val="000000" w:themeColor="text1"/>
                <w:sz w:val="22"/>
                <w:lang w:eastAsia="sr-Cyrl-CS"/>
              </w:rPr>
              <w:t xml:space="preserve">форель, треску, хек, морскую капусту, </w:t>
            </w:r>
            <w:r w:rsidRPr="0044196C">
              <w:rPr>
                <w:rFonts w:asciiTheme="minorHAnsi" w:hAnsiTheme="minorHAnsi"/>
                <w:color w:val="000000" w:themeColor="text1"/>
                <w:sz w:val="22"/>
                <w:lang w:eastAsia="sr-Cyrl-CS"/>
              </w:rPr>
              <w:t>грибы</w:t>
            </w:r>
            <w:r w:rsidRPr="0044196C">
              <w:rPr>
                <w:rFonts w:asciiTheme="minorHAnsi" w:hAnsiTheme="minorHAnsi"/>
                <w:b/>
                <w:color w:val="000000" w:themeColor="text1"/>
                <w:sz w:val="22"/>
                <w:lang w:eastAsia="sr-Cyrl-CS"/>
              </w:rPr>
              <w:t>, отруби</w:t>
            </w:r>
            <w:r w:rsidRPr="0044196C">
              <w:rPr>
                <w:rFonts w:asciiTheme="minorHAnsi" w:hAnsiTheme="minorHAnsi"/>
                <w:color w:val="000000" w:themeColor="text1"/>
                <w:sz w:val="22"/>
                <w:lang w:eastAsia="sr-Cyrl-CS"/>
              </w:rPr>
              <w:t xml:space="preserve">. </w:t>
            </w:r>
          </w:p>
          <w:p w:rsidR="00976DE8" w:rsidRPr="0044196C" w:rsidRDefault="00976DE8" w:rsidP="00976DE8">
            <w:pPr>
              <w:keepNext/>
              <w:keepLines/>
              <w:suppressAutoHyphens/>
              <w:autoSpaceDN w:val="0"/>
              <w:spacing w:before="20" w:after="20" w:line="240" w:lineRule="auto"/>
              <w:ind w:firstLine="0"/>
              <w:jc w:val="left"/>
              <w:textAlignment w:val="baseline"/>
              <w:rPr>
                <w:rFonts w:asciiTheme="minorHAnsi" w:hAnsiTheme="minorHAnsi"/>
                <w:color w:val="000000" w:themeColor="text1"/>
                <w:kern w:val="3"/>
              </w:rPr>
            </w:pPr>
            <w:r w:rsidRPr="0044196C">
              <w:rPr>
                <w:rFonts w:asciiTheme="minorHAnsi" w:hAnsiTheme="minorHAnsi"/>
                <w:color w:val="000000" w:themeColor="text1"/>
                <w:sz w:val="22"/>
                <w:lang w:eastAsia="sr-Cyrl-CS"/>
              </w:rPr>
              <w:t>Ограничить картофель (до 2-3 раз в неделю) и готовить его особым образом: очистить от кожуры, порезать, замочить в воде на, как минимум, 3 часа, слить воду и отварить вымоченный картофель в свежей воде.</w:t>
            </w:r>
          </w:p>
        </w:tc>
      </w:tr>
    </w:tbl>
    <w:p w:rsidR="00976DE8" w:rsidRPr="0044196C" w:rsidRDefault="00976DE8" w:rsidP="00976DE8">
      <w:pPr>
        <w:keepNext/>
        <w:keepLines/>
        <w:spacing w:before="60" w:after="60"/>
        <w:ind w:firstLine="0"/>
        <w:contextualSpacing/>
        <w:rPr>
          <w:i/>
          <w:color w:val="000000" w:themeColor="text1"/>
          <w:sz w:val="10"/>
          <w:lang w:eastAsia="sr-Cyrl-CS"/>
        </w:rPr>
      </w:pPr>
    </w:p>
    <w:p w:rsidR="00976DE8" w:rsidRPr="0044196C" w:rsidRDefault="00976DE8" w:rsidP="00976DE8">
      <w:pPr>
        <w:keepNext/>
        <w:keepLines/>
        <w:spacing w:before="60" w:after="60"/>
        <w:contextualSpacing/>
        <w:rPr>
          <w:i/>
          <w:color w:val="000000" w:themeColor="text1"/>
          <w:sz w:val="22"/>
          <w:lang w:eastAsia="sr-Cyrl-CS"/>
        </w:rPr>
      </w:pPr>
      <w:r w:rsidRPr="0044196C">
        <w:rPr>
          <w:i/>
          <w:color w:val="000000" w:themeColor="text1"/>
          <w:sz w:val="22"/>
          <w:lang w:eastAsia="sr-Cyrl-CS"/>
        </w:rPr>
        <w:t xml:space="preserve">Полужирным шрифтом выделены продукты, обычно рекомендуемые пациентам с артериальной гипертонией и сердечно-сосудистыми заболеваниями без ХБП, но </w:t>
      </w:r>
      <w:r w:rsidRPr="0044196C">
        <w:rPr>
          <w:b/>
          <w:i/>
          <w:color w:val="000000" w:themeColor="text1"/>
          <w:sz w:val="22"/>
          <w:lang w:eastAsia="sr-Cyrl-CS"/>
        </w:rPr>
        <w:t>противопоказанные</w:t>
      </w:r>
      <w:r w:rsidRPr="0044196C">
        <w:rPr>
          <w:i/>
          <w:color w:val="000000" w:themeColor="text1"/>
          <w:sz w:val="22"/>
          <w:lang w:eastAsia="sr-Cyrl-CS"/>
        </w:rPr>
        <w:t xml:space="preserve"> при данных нарушениях обмена</w:t>
      </w:r>
    </w:p>
    <w:p w:rsidR="00976DE8" w:rsidRPr="0044196C" w:rsidRDefault="00976DE8" w:rsidP="00976DE8">
      <w:pPr>
        <w:tabs>
          <w:tab w:val="left" w:pos="3573"/>
        </w:tabs>
        <w:ind w:firstLine="0"/>
        <w:rPr>
          <w:rFonts w:cs="Times New Roman"/>
          <w:color w:val="000000" w:themeColor="text1"/>
        </w:rPr>
      </w:pPr>
    </w:p>
    <w:p w:rsidR="0084553D" w:rsidRPr="0044196C" w:rsidRDefault="0084553D" w:rsidP="0084553D">
      <w:pPr>
        <w:pStyle w:val="a0"/>
        <w:rPr>
          <w:color w:val="000000" w:themeColor="text1"/>
        </w:rPr>
      </w:pPr>
      <w:bookmarkStart w:id="54" w:name="_Toc279732215"/>
      <w:r w:rsidRPr="0044196C">
        <w:rPr>
          <w:color w:val="000000" w:themeColor="text1"/>
        </w:rPr>
        <w:lastRenderedPageBreak/>
        <w:t xml:space="preserve">Всем больным с ХБП С3а-5 (не получающим диализа) </w:t>
      </w:r>
      <w:r w:rsidRPr="0044196C">
        <w:rPr>
          <w:i/>
          <w:color w:val="000000" w:themeColor="text1"/>
        </w:rPr>
        <w:t>рекомендуется</w:t>
      </w:r>
      <w:r w:rsidRPr="0044196C">
        <w:rPr>
          <w:color w:val="000000" w:themeColor="text1"/>
        </w:rPr>
        <w:t xml:space="preserve"> малобелковая диета (0,6-0,8 г/кг) с целью нефропротекции, а также для повышения эффективности антигипертензивных препаратов (1</w:t>
      </w:r>
      <w:r w:rsidR="001F1940" w:rsidRPr="0044196C">
        <w:rPr>
          <w:color w:val="000000" w:themeColor="text1"/>
        </w:rPr>
        <w:t>С</w:t>
      </w:r>
      <w:r w:rsidRPr="0044196C">
        <w:rPr>
          <w:color w:val="000000" w:themeColor="text1"/>
        </w:rPr>
        <w:t>).</w:t>
      </w:r>
      <w:bookmarkEnd w:id="54"/>
    </w:p>
    <w:p w:rsidR="00784795" w:rsidRPr="0044196C" w:rsidRDefault="00784795" w:rsidP="00784795">
      <w:pPr>
        <w:pStyle w:val="a0"/>
        <w:rPr>
          <w:color w:val="000000" w:themeColor="text1"/>
        </w:rPr>
      </w:pPr>
      <w:bookmarkStart w:id="55" w:name="_Toc279732216"/>
      <w:r w:rsidRPr="0044196C">
        <w:rPr>
          <w:color w:val="000000" w:themeColor="text1"/>
        </w:rPr>
        <w:t xml:space="preserve">Всем больным с вторичной почечной АГ </w:t>
      </w:r>
      <w:r w:rsidRPr="0044196C">
        <w:rPr>
          <w:i/>
          <w:color w:val="000000" w:themeColor="text1"/>
        </w:rPr>
        <w:t>рекомендуется</w:t>
      </w:r>
      <w:r w:rsidRPr="0044196C">
        <w:rPr>
          <w:color w:val="000000" w:themeColor="text1"/>
        </w:rPr>
        <w:t xml:space="preserve"> поддерживать индекс массы тела (ИМТ) в пределах 20-25 кг/м</w:t>
      </w:r>
      <w:r w:rsidRPr="0044196C">
        <w:rPr>
          <w:color w:val="000000" w:themeColor="text1"/>
          <w:vertAlign w:val="superscript"/>
        </w:rPr>
        <w:t>2</w:t>
      </w:r>
      <w:r w:rsidRPr="0044196C">
        <w:rPr>
          <w:color w:val="000000" w:themeColor="text1"/>
        </w:rPr>
        <w:t xml:space="preserve"> (1</w:t>
      </w:r>
      <w:r w:rsidRPr="0044196C">
        <w:rPr>
          <w:color w:val="000000" w:themeColor="text1"/>
          <w:lang w:val="en-US"/>
        </w:rPr>
        <w:t>D</w:t>
      </w:r>
      <w:r w:rsidRPr="0044196C">
        <w:rPr>
          <w:color w:val="000000" w:themeColor="text1"/>
        </w:rPr>
        <w:t>).</w:t>
      </w:r>
      <w:bookmarkEnd w:id="55"/>
    </w:p>
    <w:p w:rsidR="00784795" w:rsidRPr="0044196C" w:rsidRDefault="00784795" w:rsidP="00784795">
      <w:pPr>
        <w:pStyle w:val="a0"/>
        <w:numPr>
          <w:ilvl w:val="0"/>
          <w:numId w:val="0"/>
        </w:numPr>
        <w:ind w:firstLine="709"/>
        <w:rPr>
          <w:rFonts w:cstheme="minorBidi"/>
          <w:b w:val="0"/>
          <w:color w:val="000000" w:themeColor="text1"/>
        </w:rPr>
      </w:pPr>
      <w:r w:rsidRPr="0044196C">
        <w:rPr>
          <w:rFonts w:cstheme="minorBidi"/>
          <w:b w:val="0"/>
          <w:color w:val="000000" w:themeColor="text1"/>
        </w:rPr>
        <w:t xml:space="preserve">Пациентам с ХБП С1-2 </w:t>
      </w:r>
      <w:r w:rsidR="005554DE" w:rsidRPr="0044196C">
        <w:rPr>
          <w:rFonts w:cstheme="minorBidi"/>
          <w:b w:val="0"/>
          <w:color w:val="000000" w:themeColor="text1"/>
        </w:rPr>
        <w:t>рекомендуется обычное потребление белка (1,0-1,2 г/кг/сут). Избыточное потребление белка (&gt;1,3 г/кг/сут) может неблагоприятно повлиять на течение ХБП и должно быть исключено.</w:t>
      </w:r>
      <w:r w:rsidR="001F1940" w:rsidRPr="0044196C">
        <w:rPr>
          <w:rFonts w:cstheme="minorBidi"/>
          <w:b w:val="0"/>
          <w:color w:val="000000" w:themeColor="text1"/>
        </w:rPr>
        <w:t xml:space="preserve"> Начиная с 3а стадии ХБП, показана </w:t>
      </w:r>
      <w:r w:rsidR="001F1940" w:rsidRPr="0044196C">
        <w:rPr>
          <w:rFonts w:cstheme="minorBidi"/>
          <w:color w:val="000000" w:themeColor="text1"/>
        </w:rPr>
        <w:t>малобелковая диета</w:t>
      </w:r>
      <w:r w:rsidR="001F1940" w:rsidRPr="0044196C">
        <w:rPr>
          <w:rFonts w:cstheme="minorBidi"/>
          <w:b w:val="0"/>
          <w:color w:val="000000" w:themeColor="text1"/>
        </w:rPr>
        <w:t xml:space="preserve"> (0,6-0,8 г/кг), которая благоприятно влияет на почечную гемодинамику, уменьшая клубочковую гипертензию и гиперфильтрацию. Ограничение потребления белка также способствует снижению АД, уменьшению выраженности нарушений пуринового, фосфорно-кальциевого обмена, гиперкалиемии и метаболического ацидоза. На 4-5 стадиях ХБП (до начала заместительной терапии), когда отмечается выраженное повышение продуктов азотистого обмена, может быть использована </w:t>
      </w:r>
      <w:r w:rsidR="001F1940" w:rsidRPr="0044196C">
        <w:rPr>
          <w:rFonts w:cstheme="minorBidi"/>
          <w:color w:val="000000" w:themeColor="text1"/>
        </w:rPr>
        <w:t>низкобелковая диета</w:t>
      </w:r>
      <w:r w:rsidR="001F1940" w:rsidRPr="0044196C">
        <w:rPr>
          <w:rFonts w:cstheme="minorBidi"/>
          <w:b w:val="0"/>
          <w:color w:val="000000" w:themeColor="text1"/>
        </w:rPr>
        <w:t xml:space="preserve"> (0,3-0,6 г/кг/сут). В условиях значительного ограничения потребления белка</w:t>
      </w:r>
      <w:r w:rsidRPr="0044196C">
        <w:rPr>
          <w:rFonts w:cstheme="minorBidi"/>
          <w:b w:val="0"/>
          <w:color w:val="000000" w:themeColor="text1"/>
        </w:rPr>
        <w:t xml:space="preserve">, важно, чтобы не менее половины его было представлено белками животного происхождения, обладающими наибольшей пищевой ценностью. </w:t>
      </w:r>
    </w:p>
    <w:p w:rsidR="00976DE8" w:rsidRPr="0044196C" w:rsidRDefault="00976DE8" w:rsidP="00435A22">
      <w:pPr>
        <w:tabs>
          <w:tab w:val="left" w:pos="426"/>
        </w:tabs>
        <w:rPr>
          <w:color w:val="000000" w:themeColor="text1"/>
          <w:szCs w:val="28"/>
        </w:rPr>
      </w:pPr>
      <w:r w:rsidRPr="0044196C">
        <w:rPr>
          <w:color w:val="000000" w:themeColor="text1"/>
        </w:rPr>
        <w:t xml:space="preserve">Избыточный вес и ожирение связаны с резким повышением риска ССО, развитием резистентности к антигипертензивной и нефропротективной терапии. </w:t>
      </w:r>
      <w:r w:rsidR="00435A22" w:rsidRPr="0044196C">
        <w:rPr>
          <w:color w:val="000000" w:themeColor="text1"/>
          <w:szCs w:val="28"/>
        </w:rPr>
        <w:t>Больным с ХБП рекомендуется поддержание ИМТ в пределах20-25 кг/м</w:t>
      </w:r>
      <w:r w:rsidR="00435A22" w:rsidRPr="0044196C">
        <w:rPr>
          <w:color w:val="000000" w:themeColor="text1"/>
          <w:szCs w:val="28"/>
          <w:vertAlign w:val="superscript"/>
        </w:rPr>
        <w:t>2</w:t>
      </w:r>
      <w:r w:rsidR="00435A22" w:rsidRPr="0044196C">
        <w:rPr>
          <w:color w:val="000000" w:themeColor="text1"/>
          <w:szCs w:val="28"/>
        </w:rPr>
        <w:t xml:space="preserve">и окружности талии &lt;102 см у мужчин и &lt;88 см у женщин. У лиц с ожирением уменьшение массы тела на 5-10% от исходной приводит к достоверному снижению риска развития ССО, улучшению контроля АД, что крайне важно для прогноза ХБП. </w:t>
      </w:r>
      <w:r w:rsidR="00A57BCD" w:rsidRPr="0044196C">
        <w:rPr>
          <w:color w:val="000000" w:themeColor="text1"/>
        </w:rPr>
        <w:t>Снижение веса должно быть постепенным и обеспечиваться за счет планомерного ограничения высококалорийных продуктов, богатых легкодоступными углеводами, дозированных физических нагрузок. Применение пищевых добавок для снижения веса, вызывающих обезвоживание организма</w:t>
      </w:r>
      <w:r w:rsidR="00A01E04" w:rsidRPr="0044196C">
        <w:rPr>
          <w:color w:val="000000" w:themeColor="text1"/>
        </w:rPr>
        <w:t>, «сухого голодания» недопустимо</w:t>
      </w:r>
      <w:r w:rsidR="00A57BCD" w:rsidRPr="0044196C">
        <w:rPr>
          <w:color w:val="000000" w:themeColor="text1"/>
        </w:rPr>
        <w:t>.</w:t>
      </w:r>
    </w:p>
    <w:p w:rsidR="00784795" w:rsidRPr="0044196C" w:rsidRDefault="00784795" w:rsidP="00784795">
      <w:pPr>
        <w:rPr>
          <w:color w:val="000000" w:themeColor="text1"/>
        </w:rPr>
      </w:pPr>
      <w:r w:rsidRPr="0044196C">
        <w:rPr>
          <w:color w:val="000000" w:themeColor="text1"/>
        </w:rPr>
        <w:t xml:space="preserve">Дефицит потребления незаменимых аминокислот и недостаточная калорийность суточного рациона приводят к развитию </w:t>
      </w:r>
      <w:r w:rsidRPr="0044196C">
        <w:rPr>
          <w:b/>
          <w:color w:val="000000" w:themeColor="text1"/>
        </w:rPr>
        <w:t>синдрома белково-энергетической недостаточности</w:t>
      </w:r>
      <w:r w:rsidRPr="0044196C">
        <w:rPr>
          <w:color w:val="000000" w:themeColor="text1"/>
        </w:rPr>
        <w:t xml:space="preserve">, при котором наблюдается гиперкатаболизм собственных белков организма, в первую очередь мышц,  и резкое повышение смертности от сердечно-сосудистых осложнений и инфекций. Развитию синдрома белково-энергетической недостаточности способствует снижение аппетита и отвращение к белковой пище, часто возникающие вследствие уремии. Признаки синдрома белково-энергетической недостаточности могут быть выявлены при осмотре больного (снижение веса и ИМТ, уменьшение толщины кожно-жировой складки, окружности бицепса), при проведении биохимического анализа крови (альбумин&lt; 35 г/л, парадоксальный рост мочевины и мочевой кислоты, калия, несмотря дефицит потребления аминокислот). </w:t>
      </w:r>
    </w:p>
    <w:p w:rsidR="00976DE8" w:rsidRPr="0044196C" w:rsidRDefault="00CE763B" w:rsidP="00976DE8">
      <w:pPr>
        <w:ind w:firstLine="708"/>
        <w:rPr>
          <w:color w:val="000000" w:themeColor="text1"/>
          <w:lang w:eastAsia="sr-Cyrl-CS"/>
        </w:rPr>
      </w:pPr>
      <w:r w:rsidRPr="0044196C">
        <w:rPr>
          <w:color w:val="000000" w:themeColor="text1"/>
        </w:rPr>
        <w:t xml:space="preserve">Назначение комплекса кетоаналогов незаменимых аминокислот (кетостерил по 1 таб. на 5 кг массы тела в сутки или 0,1 г/кг/сут) и высокая калорийность рациона  (30-35 ккал/кг в сутки) в сочетании с достаточной физической активностью позволяют ограничивать потребление белка, избегая синдрома белково-энергетической недостаточности, при этом наблюдается замедление прогрессирования ХБП </w:t>
      </w:r>
      <w:r w:rsidR="009D7C63" w:rsidRPr="0044196C">
        <w:rPr>
          <w:color w:val="000000" w:themeColor="text1"/>
        </w:rPr>
        <w:fldChar w:fldCharType="begin" w:fldLock="1"/>
      </w:r>
      <w:r w:rsidR="00EA3B99" w:rsidRPr="0044196C">
        <w:rPr>
          <w:color w:val="000000" w:themeColor="text1"/>
        </w:rPr>
        <w:instrText>ADDIN CSL_CITATION { "citationItems" : [ { "id" : "ITEM-1", "itemData" : { "author" : [ { "dropping-particle" : "", "family" : "\u041d\u0430\u0446\u0438\u043e\u043d\u0430\u043b\u044c\u043d\u044b\u0435 \u0440\u0435\u043a\u043e\u043c\u0435\u043d\u0434\u0430\u0446\u0438\u0438", "given" : "", "non-dropping-particle" : "", "parse-names" : false, "suffix" : "" } ], "container-title" : "\u041d\u0435\u0444\u0440\u043e\u043b\u043e\u0433\u0438\u044f", "id" : "ITEM-1", "issue" : "1", "issued" : { "date-parts" : [ [ "2012" ] ] }, "page" : "15-89", "title" : "\u0425\u0440\u043e\u043d\u0438\u0447\u0435\u0441\u043a\u0430\u044f \u0431\u043e\u043b\u0435\u0437\u043d\u044c \u043f\u043e\u0447\u0435\u043a: \u043e\u0441\u043d\u043e\u0432\u043d\u044b\u0435 \u043f\u0440\u0438\u043d\u0446\u0438\u043f\u044b \u0441\u043a\u0440\u0438\u043d\u0438\u043d\u0433\u0430, \u0434\u0438\u0430\u0433\u043d\u043e\u0441\u0442\u0438\u043a\u0438, \u043f\u0440\u043e\u0444\u0438\u043b\u0430\u043a\u0442\u0438\u043a\u0438 \u0438 \u043f\u043e\u0434\u0445\u043e\u0434\u044b \u043a \u043b\u0435\u0447\u0435\u043d\u0438\u044e. \u043f\u043e\u0434 \u0440\u0435\u0434. \u0410.\u0412. \u0421\u043c\u0438\u0440\u043d\u043e\u0432\u0430", "type" : "article-journal", "volume" : "16" }, "uris" : [ "http://www.mendeley.com/documents/?uuid=6f3f8b87-741f-475c-9822-6c7a31e6f14e" ] }, { "id" : "ITEM-2", "itemData" : { "DOI" : "10.1038/ki.2013.147", "ISSN" : "1523-1755", "PMID" : "23698226", "abstract" : "Protein energy wasting (PEW) is common in patients with chronic kidney disease (CKD) and is associated with adverse clinical outcomes, especially in individuals receiving maintenance dialysis therapy. A multitude of factors can affect the nutritional and metabolic status of CKD patients requiring a combination of therapeutic maneuvers to prevent or reverse protein and energy depletion. These include optimizing dietary nutrient intake, appropriate treatment of metabolic disturbances such as metabolic acidosis, systemic inflammation, and hormonal deficiencies, and prescribing optimized dialytic regimens. In patients where oral dietary intake from regular meals cannot maintain adequate nutritional status, nutritional supplementation, administered orally, enterally, or parenterally, is shown to be effective in replenishing protein and energy stores. In clinical practice, the advantages of oral nutritional supplements include proven efficacy, safety, and compliance. Anabolic strategies such as anabolic steroids, growth hormone, and exercise, in combination with nutritional supplementation or alone, have been shown to improve protein stores and represent potential additional approaches for the treatment of PEW. Appetite stimulants, anti-inflammatory interventions, and newer anabolic agents are emerging as novel therapies. While numerous epidemiological data suggest that an improvement in biomarkers of nutritional status is associated with improved survival, there are no large randomized clinical trials that have tested the effectiveness of nutritional interventions on mortality and morbidity.", "author" : [ { "dropping-particle" : "", "family" : "Ikizler", "given" : "T Alp", "non-dropping-particle" : "", "parse-names" : false, "suffix" : "" }, { "dropping-particle" : "", "family" : "Cano", "given" : "Noel J", "non-dropping-particle" : "", "parse-names" : false, "suffix" : "" }, { "dropping-particle" : "", "family" : "Franch", "given" : "Harold", "non-dropping-particle" : "", "parse-names" : false, "suffix" : "" }, { "dropping-particle" : "", "family" : "Fouque", "given" : "Denis", "non-dropping-particle" : "", "parse-names" : false, "suffix" : "" }, { "dropping-particle" : "", "family" : "Himmelfarb", "given" : "Jonathan", "non-dropping-particle" : "", "parse-names" : false, "suffix" : "" }, { "dropping-particle" : "", "family" : "Kalantar-Zadeh", "given" : "Kamyar", "non-dropping-particle" : "", "parse-names" : false, "suffix" : "" }, { "dropping-particle" : "", "family" : "Kuhlmann", "given" : "Martin K", "non-dropping-particle" : "", "parse-names" : false, "suffix" : "" }, { "dropping-particle" : "", "family" : "Stenvinkel", "given" : "Peter", "non-dropping-particle" : "", "parse-names" : false, "suffix" : "" }, { "dropping-particle" : "", "family" : "TerWee", "given" : "Pieter", "non-dropping-particle" : "", "parse-names" : false, "suffix" : "" }, { "dropping-particle" : "", "family" : "Teta", "given" : "Daniel", "non-dropping-particle" : "", "parse-names" : false, "suffix" : "" }, { "dropping-particle" : "", "family" : "Wang", "given" : "Angela Yee-Moon", "non-dropping-particle" : "", "parse-names" : false, "suffix" : "" }, { "dropping-particle" : "", "family" : "Wanner", "given" : "Christoph", "non-dropping-particle" : "", "parse-names" : false, "suffix" : "" } ], "container-title" : "Kidney international", "id" : "ITEM-2", "issue" : "6", "issued" : { "date-parts" : [ [ "2013", "12" ] ] }, "page" : "1096-107", "publisher" : "International Society of Nephrology", "shortTitle" : "Kidney Int", "title" : "Prevention and treatment of protein energy wasting in chronic kidney disease patients: a consensus statement by the International Society of Renal Nutrition and Metabolism.", "type" : "article-journal", "volume" : "84" }, "uris" : [ "http://www.mendeley.com/documents/?uuid=4b69f445-3dcf-42ca-a52d-cd7e686b5d2a" ] }, { "id" : "ITEM-3", "itemData" : { "DOI" : "10.1053/j.jrn.2013.01.030", "ISSN" : "1532-8503", "PMID" : "23611549", "abstract" : "Hypoproteic diets are most often discussed for patients with chronic kidney disease (CKD) who do not receive dialysis. A very low-protein diet supplemented with ketoanalogues of essential amino acids (keto-diet) proved effective in ameliorating metabolic disturbances of advanced CKD and delaying the initiation of dialysis without deleterious effects on nutritional status. Several recent studies report that the keto-diet could also slow down the rate of decline in renal function, with better outcomes after the initiation of dialysis. Results of a single-center randomized controlled trial addressing the rate of CKD progression revealed a 57% slower decline in renal function with the keto-diet compared with a conventional low-protein diet (LPD). The keto-diet allowed the safe management of selected patients with stage 4-5 CKD, delaying dialysis for almost 1 year, with a major impact on patient quality of life and health expenditures. Therefore, the keto-diet could be a link in the integrated care model. Careful selection of patients, nutritional monitoring, and dietary counseling are required.", "author" : [ { "dropping-particle" : "", "family" : "Garneata", "given" : "Liliana", "non-dropping-particle" : "", "parse-names" : false, "suffix" : "" }, { "dropping-particle" : "", "family" : "Mircescu", "given" : "Gabriel", "non-dropping-particle" : "", "parse-names" : false, "suffix" : "" } ], "container-title" : "Journal of renal nutrition : the official journal of the Council on Renal Nutrition of the National Kidney Foundation", "id" : "ITEM-3", "issue" : "3", "issued" : { "date-parts" : [ [ "2013", "5" ] ] }, "page" : "210-3", "title" : "Effect of low-protein diet supplemented with keto acids on progression of chronic kidney disease.", "type" : "article-journal", "volume" : "23" }, "uris" : [ "http://www.mendeley.com/documents/?uuid=c05264d3-c3ce-4b72-a0d5-a07939c8bca8" ] }, { "id" : "ITEM-4", "itemData" : { "author" : [ { "dropping-particle" : "", "family" : "Fouque", "given" : "D", "non-dropping-particle" : "", "parse-names" : false, "suffix" : "" }, { "dropping-particle" : "", "family" : "Pelletier", "given" : "S", "non-dropping-particle" : "", "parse-names" : false, "suffix" : "" }, { "dropping-particle" : "", "family" : "Mafra", "given" : "D", "non-dropping-particle" : "", "parse-names" : false, "suffix" : "" }, { "dropping-particle" : "", "family" : "Chauveau", "given" : "P", "non-dropping-particle" : "", "parse-names" : false, "suffix" : "" } ], "container-title" : "Kidney international", "id" : "ITEM-4", "issued" : { "date-parts" : [ [ "2011" ] ] }, "title" : "Nutrition and chronic kidney disease", "type" : "article-journal" }, "uris" : [ "http://www.mendeley.com/documents/?uuid=7bb43c84-bb09-4b5f-a1fc-f4f30bf9fcad" ] } ], "mendeley" : { "previouslyFormattedCitation" : "[\u041d\u0430\u0446\u0438\u043e\u043d\u0430\u043b\u044c\u043d\u044b\u0435 \u0440\u0435\u043a\u043e\u043c\u0435\u043d\u0434\u0430\u0446\u0438\u0438, 2012; Fouque \u0438 \u0434\u0440., 2011; Garneata, Mircescu, 2013; Ikizler \u0438 \u0434\u0440., 2013]"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[Национальные рекомендации, 2012; Fouque и др., 2011; Garneata, Mircescu, 2013; Ikizler и др., 2013]</w:t>
      </w:r>
      <w:r w:rsidR="009D7C63" w:rsidRPr="0044196C">
        <w:rPr>
          <w:color w:val="000000" w:themeColor="text1"/>
        </w:rPr>
        <w:fldChar w:fldCharType="end"/>
      </w:r>
      <w:r w:rsidRPr="0044196C">
        <w:rPr>
          <w:color w:val="000000" w:themeColor="text1"/>
        </w:rPr>
        <w:t xml:space="preserve">. </w:t>
      </w:r>
      <w:r w:rsidR="00976DE8" w:rsidRPr="0044196C">
        <w:rPr>
          <w:color w:val="000000" w:themeColor="text1"/>
          <w:lang w:eastAsia="sr-Cyrl-CS"/>
        </w:rPr>
        <w:t>При назначении низкобелковой диеты использование препаратов кетокислот является обязательным.</w:t>
      </w:r>
    </w:p>
    <w:p w:rsidR="0084553D" w:rsidRPr="0044196C" w:rsidRDefault="00784795" w:rsidP="00732CEB">
      <w:pPr>
        <w:rPr>
          <w:color w:val="000000" w:themeColor="text1"/>
        </w:rPr>
      </w:pPr>
      <w:r w:rsidRPr="0044196C">
        <w:rPr>
          <w:color w:val="000000" w:themeColor="text1"/>
        </w:rPr>
        <w:lastRenderedPageBreak/>
        <w:t>Учитывая сложность диеты при ХБП, изменени</w:t>
      </w:r>
      <w:r w:rsidR="00A57BCD" w:rsidRPr="0044196C">
        <w:rPr>
          <w:color w:val="000000" w:themeColor="text1"/>
        </w:rPr>
        <w:t>я</w:t>
      </w:r>
      <w:r w:rsidRPr="0044196C">
        <w:rPr>
          <w:color w:val="000000" w:themeColor="text1"/>
        </w:rPr>
        <w:t xml:space="preserve"> ее требований в зависимости от </w:t>
      </w:r>
      <w:r w:rsidR="00A57BCD" w:rsidRPr="0044196C">
        <w:rPr>
          <w:color w:val="000000" w:themeColor="text1"/>
        </w:rPr>
        <w:t>стадии</w:t>
      </w:r>
      <w:r w:rsidRPr="0044196C">
        <w:rPr>
          <w:color w:val="000000" w:themeColor="text1"/>
        </w:rPr>
        <w:t xml:space="preserve"> заболевания, важность строгой сбалансированности, пациентам с ХБП с высоким и очень высоким риском ТПН и ССО показаны консультация диетолога, регулярный контроль рациона питания и нутритивного статуса, ведение пищевых дневников. </w:t>
      </w:r>
    </w:p>
    <w:p w:rsidR="00BA5C55" w:rsidRPr="0044196C" w:rsidRDefault="00EB444A" w:rsidP="00BA5C55">
      <w:pPr>
        <w:pStyle w:val="a0"/>
        <w:rPr>
          <w:color w:val="000000" w:themeColor="text1"/>
        </w:rPr>
      </w:pPr>
      <w:bookmarkStart w:id="56" w:name="_Toc279732217"/>
      <w:r w:rsidRPr="0044196C">
        <w:rPr>
          <w:color w:val="000000" w:themeColor="text1"/>
        </w:rPr>
        <w:t xml:space="preserve">Всем больным с вторичной почечной АГ </w:t>
      </w:r>
      <w:r w:rsidRPr="0044196C">
        <w:rPr>
          <w:i/>
          <w:color w:val="000000" w:themeColor="text1"/>
        </w:rPr>
        <w:t>рекомендуется</w:t>
      </w:r>
      <w:r w:rsidRPr="0044196C">
        <w:rPr>
          <w:color w:val="000000" w:themeColor="text1"/>
        </w:rPr>
        <w:t xml:space="preserve"> индивидуальный подбор комплекса лечебной физкультуры с учетом состояния сердечно-сосудистой системы и переносимости. Физические упражнения должны </w:t>
      </w:r>
      <w:r w:rsidR="00BA5C55" w:rsidRPr="0044196C">
        <w:rPr>
          <w:color w:val="000000" w:themeColor="text1"/>
        </w:rPr>
        <w:t xml:space="preserve">быть равномерно распределены в течение недели, их общая продолжительность должна составлять </w:t>
      </w:r>
      <w:r w:rsidR="00611B54" w:rsidRPr="0044196C">
        <w:rPr>
          <w:color w:val="000000" w:themeColor="text1"/>
        </w:rPr>
        <w:t xml:space="preserve">не менее 3 часов  в </w:t>
      </w:r>
      <w:r w:rsidR="00BA5C55" w:rsidRPr="0044196C">
        <w:rPr>
          <w:color w:val="000000" w:themeColor="text1"/>
        </w:rPr>
        <w:t>нед</w:t>
      </w:r>
      <w:r w:rsidR="00611B54" w:rsidRPr="0044196C">
        <w:rPr>
          <w:color w:val="000000" w:themeColor="text1"/>
        </w:rPr>
        <w:t>елю</w:t>
      </w:r>
      <w:r w:rsidRPr="0044196C">
        <w:rPr>
          <w:color w:val="000000" w:themeColor="text1"/>
        </w:rPr>
        <w:t xml:space="preserve"> (1</w:t>
      </w:r>
      <w:r w:rsidRPr="0044196C">
        <w:rPr>
          <w:color w:val="000000" w:themeColor="text1"/>
          <w:lang w:val="en-US"/>
        </w:rPr>
        <w:t>D</w:t>
      </w:r>
      <w:r w:rsidRPr="0044196C">
        <w:rPr>
          <w:color w:val="000000" w:themeColor="text1"/>
        </w:rPr>
        <w:t>).</w:t>
      </w:r>
      <w:bookmarkEnd w:id="56"/>
    </w:p>
    <w:p w:rsidR="00530A13" w:rsidRPr="0044196C" w:rsidRDefault="00BA5C55" w:rsidP="00BA5C55">
      <w:pPr>
        <w:tabs>
          <w:tab w:val="left" w:pos="3573"/>
        </w:tabs>
        <w:rPr>
          <w:rFonts w:cs="Times New Roman"/>
          <w:color w:val="000000" w:themeColor="text1"/>
        </w:rPr>
      </w:pPr>
      <w:r w:rsidRPr="0044196C">
        <w:rPr>
          <w:rFonts w:cs="Times New Roman"/>
          <w:color w:val="000000" w:themeColor="text1"/>
        </w:rPr>
        <w:t xml:space="preserve">Благоприятное разностороннее влияние </w:t>
      </w:r>
      <w:r w:rsidR="00530A13" w:rsidRPr="0044196C">
        <w:rPr>
          <w:rFonts w:cs="Times New Roman"/>
          <w:color w:val="000000" w:themeColor="text1"/>
        </w:rPr>
        <w:t xml:space="preserve">дозированных физических нагрузок на показатели здоровья показано в многочисленных исследованиях представителей общей популяции. Несмотря на отсутствие  клинических исследований влияния физических упражнений на уровень АД и прогноз пациентов с ХБП (кроме единичных небольших по объему исследований пациентов с ТПН), нет оснований полагать, что их эффекты должны быть иными, чем у представителей общей популяции. </w:t>
      </w:r>
    </w:p>
    <w:p w:rsidR="00BA5C55" w:rsidRPr="0044196C" w:rsidRDefault="00BA5C55" w:rsidP="00BA5C55">
      <w:pPr>
        <w:tabs>
          <w:tab w:val="left" w:pos="3573"/>
        </w:tabs>
        <w:rPr>
          <w:rFonts w:cs="Times New Roman"/>
          <w:color w:val="000000" w:themeColor="text1"/>
        </w:rPr>
      </w:pPr>
      <w:r w:rsidRPr="0044196C">
        <w:rPr>
          <w:rFonts w:cs="Times New Roman"/>
          <w:color w:val="000000" w:themeColor="text1"/>
        </w:rPr>
        <w:t xml:space="preserve">Дозированные физические нагрузки показаны всем пациентам с ХБП, кроме больных с нефротическим синдромом, острой почечной недостаточностью. Аэробные нагрузки (плавание, быстрая ходьба, занятия на велотренажере и эллиптическом тренажере) необходимы для оптимизации веса, АД, снижения риска ССО. Полезны и силовые упражнения для оптимизации белкового обмена, укрепления мышц. В то же время бег трусцой, занятия на беговой дорожке, верховая езда и другие упражнения, связанные со значительным сотрясением тела, нежелательны людям, склонным к опущению почки. </w:t>
      </w:r>
    </w:p>
    <w:p w:rsidR="00BA5C55" w:rsidRPr="0044196C" w:rsidRDefault="00BA5C55" w:rsidP="00BA5C55">
      <w:pPr>
        <w:tabs>
          <w:tab w:val="left" w:pos="3573"/>
        </w:tabs>
        <w:rPr>
          <w:rFonts w:cs="Times New Roman"/>
          <w:color w:val="000000" w:themeColor="text1"/>
        </w:rPr>
      </w:pPr>
      <w:r w:rsidRPr="0044196C">
        <w:rPr>
          <w:rFonts w:cs="Times New Roman"/>
          <w:color w:val="000000" w:themeColor="text1"/>
        </w:rPr>
        <w:t>Занятия физкультурой должны быть регулярными и равномерно распределены в течение недели. Как минимум, 30 минут в день 5-7 раз в неделю или по часу 3 раза в неделю.</w:t>
      </w:r>
    </w:p>
    <w:p w:rsidR="00EB444A" w:rsidRPr="0044196C" w:rsidRDefault="00EB444A" w:rsidP="00530A13">
      <w:pPr>
        <w:pStyle w:val="a0"/>
        <w:rPr>
          <w:color w:val="000000" w:themeColor="text1"/>
        </w:rPr>
      </w:pPr>
      <w:bookmarkStart w:id="57" w:name="_Toc279732218"/>
      <w:r w:rsidRPr="0044196C">
        <w:rPr>
          <w:color w:val="000000" w:themeColor="text1"/>
        </w:rPr>
        <w:t xml:space="preserve">Всем больным с вторичной почечной АГ, подверженным курению, </w:t>
      </w:r>
      <w:r w:rsidRPr="0044196C">
        <w:rPr>
          <w:i/>
          <w:color w:val="000000" w:themeColor="text1"/>
        </w:rPr>
        <w:t>рекоменд</w:t>
      </w:r>
      <w:r w:rsidR="00A71C88" w:rsidRPr="0044196C">
        <w:rPr>
          <w:i/>
          <w:color w:val="000000" w:themeColor="text1"/>
        </w:rPr>
        <w:t>ует</w:t>
      </w:r>
      <w:r w:rsidRPr="0044196C">
        <w:rPr>
          <w:i/>
          <w:color w:val="000000" w:themeColor="text1"/>
        </w:rPr>
        <w:t>ся</w:t>
      </w:r>
      <w:r w:rsidRPr="0044196C">
        <w:rPr>
          <w:color w:val="000000" w:themeColor="text1"/>
        </w:rPr>
        <w:t xml:space="preserve"> отказ от него с целью кардио- и нефропротекции (</w:t>
      </w:r>
      <w:r w:rsidR="00A71C88" w:rsidRPr="0044196C">
        <w:rPr>
          <w:color w:val="000000" w:themeColor="text1"/>
        </w:rPr>
        <w:t>1</w:t>
      </w:r>
      <w:r w:rsidR="005F3DD2" w:rsidRPr="0044196C">
        <w:rPr>
          <w:color w:val="000000" w:themeColor="text1"/>
          <w:lang w:val="en-US"/>
        </w:rPr>
        <w:t>D</w:t>
      </w:r>
      <w:r w:rsidRPr="0044196C">
        <w:rPr>
          <w:color w:val="000000" w:themeColor="text1"/>
        </w:rPr>
        <w:t>)</w:t>
      </w:r>
      <w:r w:rsidR="00A71C88" w:rsidRPr="0044196C">
        <w:rPr>
          <w:color w:val="000000" w:themeColor="text1"/>
        </w:rPr>
        <w:t>.</w:t>
      </w:r>
      <w:bookmarkEnd w:id="57"/>
    </w:p>
    <w:p w:rsidR="005C736A" w:rsidRPr="0044196C" w:rsidRDefault="00A71C88" w:rsidP="00A71C88">
      <w:pPr>
        <w:pStyle w:val="a0"/>
        <w:rPr>
          <w:color w:val="000000" w:themeColor="text1"/>
        </w:rPr>
      </w:pPr>
      <w:bookmarkStart w:id="58" w:name="_Toc279732219"/>
      <w:r w:rsidRPr="0044196C">
        <w:rPr>
          <w:color w:val="000000" w:themeColor="text1"/>
        </w:rPr>
        <w:t xml:space="preserve">Потребление алкоголя больным с вторичной почечной АГ </w:t>
      </w:r>
      <w:r w:rsidRPr="0044196C">
        <w:rPr>
          <w:i/>
          <w:color w:val="000000" w:themeColor="text1"/>
        </w:rPr>
        <w:t>рекомендуется</w:t>
      </w:r>
      <w:r w:rsidRPr="0044196C">
        <w:rPr>
          <w:color w:val="000000" w:themeColor="text1"/>
        </w:rPr>
        <w:t xml:space="preserve"> ограничить – не более 20 г чистого этанола в с</w:t>
      </w:r>
      <w:r w:rsidR="006D266D" w:rsidRPr="0044196C">
        <w:rPr>
          <w:color w:val="000000" w:themeColor="text1"/>
        </w:rPr>
        <w:t>утки для мужчин и не более 10 г/сут</w:t>
      </w:r>
      <w:r w:rsidRPr="0044196C">
        <w:rPr>
          <w:color w:val="000000" w:themeColor="text1"/>
        </w:rPr>
        <w:t>для женщин (1</w:t>
      </w:r>
      <w:r w:rsidRPr="0044196C">
        <w:rPr>
          <w:color w:val="000000" w:themeColor="text1"/>
          <w:lang w:val="en-US"/>
        </w:rPr>
        <w:t>D</w:t>
      </w:r>
      <w:r w:rsidRPr="0044196C">
        <w:rPr>
          <w:color w:val="000000" w:themeColor="text1"/>
        </w:rPr>
        <w:t>).</w:t>
      </w:r>
      <w:bookmarkEnd w:id="58"/>
    </w:p>
    <w:p w:rsidR="00BE4FB1" w:rsidRPr="0044196C" w:rsidRDefault="00530A13" w:rsidP="005F3DD2">
      <w:pPr>
        <w:tabs>
          <w:tab w:val="left" w:pos="3573"/>
        </w:tabs>
        <w:rPr>
          <w:rFonts w:cs="Times New Roman"/>
          <w:color w:val="000000" w:themeColor="text1"/>
        </w:rPr>
      </w:pPr>
      <w:r w:rsidRPr="0044196C">
        <w:rPr>
          <w:rFonts w:cs="Times New Roman"/>
          <w:color w:val="000000" w:themeColor="text1"/>
        </w:rPr>
        <w:t xml:space="preserve">Курение </w:t>
      </w:r>
      <w:r w:rsidR="00BE4FB1" w:rsidRPr="0044196C">
        <w:rPr>
          <w:rFonts w:cs="Times New Roman"/>
          <w:color w:val="000000" w:themeColor="text1"/>
        </w:rPr>
        <w:t xml:space="preserve">является одним из </w:t>
      </w:r>
      <w:r w:rsidR="005F3DD2" w:rsidRPr="0044196C">
        <w:rPr>
          <w:rFonts w:cs="Times New Roman"/>
          <w:color w:val="000000" w:themeColor="text1"/>
        </w:rPr>
        <w:t>основных</w:t>
      </w:r>
      <w:r w:rsidR="00BE4FB1" w:rsidRPr="0044196C">
        <w:rPr>
          <w:rFonts w:cs="Times New Roman"/>
          <w:color w:val="000000" w:themeColor="text1"/>
        </w:rPr>
        <w:t xml:space="preserve"> изменяемых факторов риска развития ССО</w:t>
      </w:r>
      <w:r w:rsidR="005F3DD2" w:rsidRPr="0044196C">
        <w:rPr>
          <w:rFonts w:cs="Times New Roman"/>
          <w:color w:val="000000" w:themeColor="text1"/>
        </w:rPr>
        <w:t xml:space="preserve">, </w:t>
      </w:r>
      <w:r w:rsidR="00A01E04" w:rsidRPr="0044196C">
        <w:rPr>
          <w:rFonts w:cs="Times New Roman"/>
          <w:color w:val="000000" w:themeColor="text1"/>
        </w:rPr>
        <w:t xml:space="preserve">развития </w:t>
      </w:r>
      <w:r w:rsidR="005F3DD2" w:rsidRPr="0044196C">
        <w:rPr>
          <w:rFonts w:cs="Times New Roman"/>
          <w:color w:val="000000" w:themeColor="text1"/>
        </w:rPr>
        <w:t xml:space="preserve">ХБП и </w:t>
      </w:r>
      <w:r w:rsidR="00A01E04" w:rsidRPr="0044196C">
        <w:rPr>
          <w:rFonts w:cs="Times New Roman"/>
          <w:color w:val="000000" w:themeColor="text1"/>
        </w:rPr>
        <w:t xml:space="preserve">развития </w:t>
      </w:r>
      <w:r w:rsidR="005F3DD2" w:rsidRPr="0044196C">
        <w:rPr>
          <w:rFonts w:cs="Times New Roman"/>
          <w:color w:val="000000" w:themeColor="text1"/>
        </w:rPr>
        <w:t xml:space="preserve">ТПНу пациентов с уже имеющейся ХБП []. </w:t>
      </w:r>
      <w:r w:rsidR="00BE4FB1" w:rsidRPr="0044196C">
        <w:rPr>
          <w:rFonts w:cs="Times New Roman"/>
          <w:color w:val="000000" w:themeColor="text1"/>
        </w:rPr>
        <w:t>Прием алкоголя</w:t>
      </w:r>
      <w:r w:rsidR="00435A22" w:rsidRPr="0044196C">
        <w:rPr>
          <w:rFonts w:cs="Times New Roman"/>
          <w:color w:val="000000" w:themeColor="text1"/>
        </w:rPr>
        <w:t xml:space="preserve"> вызывает как кратковременное, так и </w:t>
      </w:r>
      <w:r w:rsidR="00BE4FB1" w:rsidRPr="0044196C">
        <w:rPr>
          <w:rFonts w:cs="Times New Roman"/>
          <w:color w:val="000000" w:themeColor="text1"/>
        </w:rPr>
        <w:t>долгосрочное</w:t>
      </w:r>
      <w:r w:rsidR="00435A22" w:rsidRPr="0044196C">
        <w:rPr>
          <w:rFonts w:cs="Times New Roman"/>
          <w:color w:val="000000" w:themeColor="text1"/>
        </w:rPr>
        <w:t xml:space="preserve"> повышение АД. Систематической обзор результатов четырех исследований</w:t>
      </w:r>
      <w:r w:rsidR="00B971C6" w:rsidRPr="0044196C">
        <w:rPr>
          <w:rFonts w:cs="Times New Roman"/>
          <w:color w:val="000000" w:themeColor="text1"/>
        </w:rPr>
        <w:t xml:space="preserve"> </w:t>
      </w:r>
      <w:r w:rsidR="00BE4FB1" w:rsidRPr="0044196C">
        <w:rPr>
          <w:rFonts w:cs="Times New Roman"/>
          <w:color w:val="000000" w:themeColor="text1"/>
        </w:rPr>
        <w:t>[Dickinson HO, Mason JM, Nicolson DJ et</w:t>
      </w:r>
      <w:r w:rsidR="00B971C6" w:rsidRPr="0044196C">
        <w:rPr>
          <w:rFonts w:cs="Times New Roman"/>
          <w:color w:val="000000" w:themeColor="text1"/>
        </w:rPr>
        <w:t xml:space="preserve"> </w:t>
      </w:r>
      <w:r w:rsidR="00BE4FB1" w:rsidRPr="0044196C">
        <w:rPr>
          <w:rFonts w:cs="Times New Roman"/>
          <w:color w:val="000000" w:themeColor="text1"/>
        </w:rPr>
        <w:t xml:space="preserve">al. </w:t>
      </w:r>
      <w:r w:rsidR="00BE4FB1" w:rsidRPr="0044196C">
        <w:rPr>
          <w:rFonts w:cs="Times New Roman"/>
          <w:color w:val="000000" w:themeColor="text1"/>
          <w:lang w:val="en-US"/>
        </w:rPr>
        <w:t>Life</w:t>
      </w:r>
      <w:r w:rsidR="00D77736" w:rsidRPr="0044196C">
        <w:rPr>
          <w:rFonts w:cs="Times New Roman"/>
          <w:color w:val="000000" w:themeColor="text1"/>
          <w:lang w:val="en-US"/>
        </w:rPr>
        <w:t xml:space="preserve"> </w:t>
      </w:r>
      <w:r w:rsidR="00BE4FB1" w:rsidRPr="0044196C">
        <w:rPr>
          <w:rFonts w:cs="Times New Roman"/>
          <w:color w:val="000000" w:themeColor="text1"/>
          <w:lang w:val="en-US"/>
        </w:rPr>
        <w:t>styleinterventionstoreduceraised</w:t>
      </w:r>
      <w:r w:rsidR="00D77736" w:rsidRPr="0044196C">
        <w:rPr>
          <w:rFonts w:cs="Times New Roman"/>
          <w:color w:val="000000" w:themeColor="text1"/>
          <w:lang w:val="en-US"/>
        </w:rPr>
        <w:t xml:space="preserve"> </w:t>
      </w:r>
      <w:r w:rsidR="00BE4FB1" w:rsidRPr="0044196C">
        <w:rPr>
          <w:rFonts w:cs="Times New Roman"/>
          <w:color w:val="000000" w:themeColor="text1"/>
          <w:lang w:val="en-US"/>
        </w:rPr>
        <w:t>blood</w:t>
      </w:r>
      <w:r w:rsidR="00D77736" w:rsidRPr="0044196C">
        <w:rPr>
          <w:rFonts w:cs="Times New Roman"/>
          <w:color w:val="000000" w:themeColor="text1"/>
          <w:lang w:val="en-US"/>
        </w:rPr>
        <w:t xml:space="preserve"> </w:t>
      </w:r>
      <w:r w:rsidR="00BE4FB1" w:rsidRPr="0044196C">
        <w:rPr>
          <w:rFonts w:cs="Times New Roman"/>
          <w:color w:val="000000" w:themeColor="text1"/>
          <w:lang w:val="en-US"/>
        </w:rPr>
        <w:t>pressure: a systematic</w:t>
      </w:r>
      <w:r w:rsidR="00D77736" w:rsidRPr="0044196C">
        <w:rPr>
          <w:rFonts w:cs="Times New Roman"/>
          <w:color w:val="000000" w:themeColor="text1"/>
          <w:lang w:val="en-US"/>
        </w:rPr>
        <w:t xml:space="preserve"> </w:t>
      </w:r>
      <w:r w:rsidR="00BE4FB1" w:rsidRPr="0044196C">
        <w:rPr>
          <w:rFonts w:cs="Times New Roman"/>
          <w:color w:val="000000" w:themeColor="text1"/>
          <w:lang w:val="en-US"/>
        </w:rPr>
        <w:t>review</w:t>
      </w:r>
      <w:r w:rsidR="00D77736" w:rsidRPr="0044196C">
        <w:rPr>
          <w:rFonts w:cs="Times New Roman"/>
          <w:color w:val="000000" w:themeColor="text1"/>
          <w:lang w:val="en-US"/>
        </w:rPr>
        <w:t xml:space="preserve"> </w:t>
      </w:r>
      <w:r w:rsidR="00BE4FB1" w:rsidRPr="0044196C">
        <w:rPr>
          <w:rFonts w:cs="Times New Roman"/>
          <w:color w:val="000000" w:themeColor="text1"/>
          <w:lang w:val="en-US"/>
        </w:rPr>
        <w:t>of</w:t>
      </w:r>
      <w:r w:rsidR="00D77736" w:rsidRPr="0044196C">
        <w:rPr>
          <w:rFonts w:cs="Times New Roman"/>
          <w:color w:val="000000" w:themeColor="text1"/>
          <w:lang w:val="en-US"/>
        </w:rPr>
        <w:t xml:space="preserve"> </w:t>
      </w:r>
      <w:r w:rsidR="00BE4FB1" w:rsidRPr="0044196C">
        <w:rPr>
          <w:rFonts w:cs="Times New Roman"/>
          <w:color w:val="000000" w:themeColor="text1"/>
          <w:lang w:val="en-US"/>
        </w:rPr>
        <w:t>randomized</w:t>
      </w:r>
      <w:r w:rsidR="00D77736" w:rsidRPr="0044196C">
        <w:rPr>
          <w:rFonts w:cs="Times New Roman"/>
          <w:color w:val="000000" w:themeColor="text1"/>
          <w:lang w:val="en-US"/>
        </w:rPr>
        <w:t xml:space="preserve"> </w:t>
      </w:r>
      <w:r w:rsidR="00BE4FB1" w:rsidRPr="0044196C">
        <w:rPr>
          <w:rFonts w:cs="Times New Roman"/>
          <w:color w:val="000000" w:themeColor="text1"/>
          <w:lang w:val="en-US"/>
        </w:rPr>
        <w:t>controlled</w:t>
      </w:r>
      <w:r w:rsidR="00D77736" w:rsidRPr="0044196C">
        <w:rPr>
          <w:rFonts w:cs="Times New Roman"/>
          <w:color w:val="000000" w:themeColor="text1"/>
          <w:lang w:val="en-US"/>
        </w:rPr>
        <w:t xml:space="preserve"> </w:t>
      </w:r>
      <w:r w:rsidR="00BE4FB1" w:rsidRPr="0044196C">
        <w:rPr>
          <w:rFonts w:cs="Times New Roman"/>
          <w:color w:val="000000" w:themeColor="text1"/>
          <w:lang w:val="en-US"/>
        </w:rPr>
        <w:t xml:space="preserve">trials. </w:t>
      </w:r>
      <w:r w:rsidR="00BE4FB1" w:rsidRPr="0044196C">
        <w:rPr>
          <w:rFonts w:cs="Times New Roman"/>
          <w:color w:val="000000" w:themeColor="text1"/>
        </w:rPr>
        <w:t>J Hypertens 2006; 24: 215–233]</w:t>
      </w:r>
      <w:r w:rsidR="00435A22" w:rsidRPr="0044196C">
        <w:rPr>
          <w:rFonts w:cs="Times New Roman"/>
          <w:color w:val="000000" w:themeColor="text1"/>
        </w:rPr>
        <w:t>показал, что ограничение потребления алкоголя в общей популяции привело к снижению САД на 3,8 мм рт. ст. (95% ДИ 1,4-6,1), а ДАД – на 3,2 мм рт. ст. (95% ДИ 1,4-5,0</w:t>
      </w:r>
      <w:r w:rsidR="00BE4FB1" w:rsidRPr="0044196C">
        <w:rPr>
          <w:rFonts w:cs="Times New Roman"/>
          <w:color w:val="000000" w:themeColor="text1"/>
        </w:rPr>
        <w:t>)</w:t>
      </w:r>
      <w:r w:rsidR="00435A22" w:rsidRPr="0044196C">
        <w:rPr>
          <w:rFonts w:cs="Times New Roman"/>
          <w:color w:val="000000" w:themeColor="text1"/>
        </w:rPr>
        <w:t xml:space="preserve">. </w:t>
      </w:r>
      <w:r w:rsidR="00A01E04" w:rsidRPr="0044196C">
        <w:rPr>
          <w:rFonts w:cs="Times New Roman"/>
          <w:color w:val="000000" w:themeColor="text1"/>
        </w:rPr>
        <w:t>Пагубное потребление алкоголя негативно влияет и на состояние почек.</w:t>
      </w:r>
    </w:p>
    <w:p w:rsidR="00435A22" w:rsidRPr="0044196C" w:rsidRDefault="005F3DD2" w:rsidP="00D122F4">
      <w:pPr>
        <w:tabs>
          <w:tab w:val="left" w:pos="3573"/>
        </w:tabs>
        <w:rPr>
          <w:rFonts w:cs="Times New Roman"/>
          <w:color w:val="000000" w:themeColor="text1"/>
        </w:rPr>
      </w:pPr>
      <w:r w:rsidRPr="0044196C">
        <w:rPr>
          <w:rFonts w:cs="Times New Roman"/>
          <w:color w:val="000000" w:themeColor="text1"/>
        </w:rPr>
        <w:t>Несмотря на отсутствие  клинических исследований влияния отказа от курения и ограничение потребления алкоголя на уровень АД и прогноз пациентов с ХБП, нет оснований полагать, что их эффекты должны быть иными, чем у представителей общей популяции.</w:t>
      </w:r>
    </w:p>
    <w:p w:rsidR="00A71C88" w:rsidRPr="0044196C" w:rsidRDefault="00A71C88" w:rsidP="00A71C88">
      <w:pPr>
        <w:pStyle w:val="a0"/>
        <w:rPr>
          <w:color w:val="000000" w:themeColor="text1"/>
        </w:rPr>
      </w:pPr>
      <w:bookmarkStart w:id="59" w:name="_Toc279732220"/>
      <w:r w:rsidRPr="0044196C">
        <w:rPr>
          <w:color w:val="000000" w:themeColor="text1"/>
        </w:rPr>
        <w:lastRenderedPageBreak/>
        <w:t xml:space="preserve">При обследовании больных с вторичной почечной АГ необходимо тщательно изучать фармакологический анамнез, </w:t>
      </w:r>
      <w:r w:rsidR="00530A13" w:rsidRPr="0044196C">
        <w:rPr>
          <w:color w:val="000000" w:themeColor="text1"/>
        </w:rPr>
        <w:t xml:space="preserve">по возможности ограничивать или исключать прием </w:t>
      </w:r>
      <w:r w:rsidRPr="0044196C">
        <w:rPr>
          <w:color w:val="000000" w:themeColor="text1"/>
        </w:rPr>
        <w:t xml:space="preserve">препаратов, </w:t>
      </w:r>
      <w:r w:rsidR="001751E9" w:rsidRPr="0044196C">
        <w:rPr>
          <w:color w:val="000000" w:themeColor="text1"/>
        </w:rPr>
        <w:t>повышающих АД и неблагоприятно влияющих на почки (анальгетики, нестероидные противовоспалительные средства</w:t>
      </w:r>
      <w:r w:rsidR="00BC4A9C" w:rsidRPr="0044196C">
        <w:rPr>
          <w:color w:val="000000" w:themeColor="text1"/>
        </w:rPr>
        <w:t>, включая селективные ингибиторы циклооксигеназы-2</w:t>
      </w:r>
      <w:r w:rsidR="005F3DD2" w:rsidRPr="0044196C">
        <w:rPr>
          <w:color w:val="000000" w:themeColor="text1"/>
        </w:rPr>
        <w:t>)</w:t>
      </w:r>
      <w:r w:rsidR="001751E9" w:rsidRPr="0044196C">
        <w:rPr>
          <w:color w:val="000000" w:themeColor="text1"/>
        </w:rPr>
        <w:t xml:space="preserve"> (НГ).</w:t>
      </w:r>
      <w:bookmarkEnd w:id="59"/>
    </w:p>
    <w:p w:rsidR="00A71C88" w:rsidRPr="0044196C" w:rsidRDefault="006D0117" w:rsidP="00D122F4">
      <w:pPr>
        <w:tabs>
          <w:tab w:val="left" w:pos="3573"/>
        </w:tabs>
        <w:rPr>
          <w:rFonts w:cs="Times New Roman"/>
          <w:color w:val="000000" w:themeColor="text1"/>
        </w:rPr>
      </w:pPr>
      <w:r w:rsidRPr="0044196C">
        <w:rPr>
          <w:rFonts w:cs="Times New Roman"/>
          <w:color w:val="000000" w:themeColor="text1"/>
        </w:rPr>
        <w:t xml:space="preserve">Значительная часть пациентов с ХБП в России регулярно принимает анальгетики и НПВП (по данным анкетирования до 30%) по поводу головных болей, болей в спине, артралгий, </w:t>
      </w:r>
      <w:r w:rsidR="00A01E04" w:rsidRPr="0044196C">
        <w:rPr>
          <w:rFonts w:cs="Times New Roman"/>
          <w:color w:val="000000" w:themeColor="text1"/>
        </w:rPr>
        <w:t xml:space="preserve">болезненных месячных, </w:t>
      </w:r>
      <w:r w:rsidRPr="0044196C">
        <w:rPr>
          <w:rFonts w:cs="Times New Roman"/>
          <w:color w:val="000000" w:themeColor="text1"/>
        </w:rPr>
        <w:t>как правило, не ставя об этом в известность нефролога. Регулярный прием анальгетиков, НПВП</w:t>
      </w:r>
      <w:r w:rsidR="00BC4A9C" w:rsidRPr="0044196C">
        <w:rPr>
          <w:rFonts w:cs="Times New Roman"/>
          <w:color w:val="000000" w:themeColor="text1"/>
        </w:rPr>
        <w:t xml:space="preserve">, включая селективные ингибиторы циклооксигеназы-2, связан с развитием резистентности к антигипертензивной терапии вследствие снижения экскреции натрия, оказывает токсическое и ишемическое повреждающее действие на почки, приводящее к тубулоинтерстициальному фиброзу и нарушению функции []. При обследовании пациента с нефрогенной АГ необходимо целенаправленно выявлять </w:t>
      </w:r>
      <w:r w:rsidR="00DA18BE" w:rsidRPr="0044196C">
        <w:rPr>
          <w:rFonts w:cs="Times New Roman"/>
          <w:color w:val="000000" w:themeColor="text1"/>
        </w:rPr>
        <w:t>наличие болевого синдрома любой локализации, который сам предрасполагает к развитию резистентной АГ,  и факт</w:t>
      </w:r>
      <w:r w:rsidR="00BC4A9C" w:rsidRPr="0044196C">
        <w:rPr>
          <w:rFonts w:cs="Times New Roman"/>
          <w:color w:val="000000" w:themeColor="text1"/>
        </w:rPr>
        <w:t xml:space="preserve"> регулярного приема анальгетиков, </w:t>
      </w:r>
      <w:r w:rsidR="00DA18BE" w:rsidRPr="0044196C">
        <w:rPr>
          <w:rFonts w:cs="Times New Roman"/>
          <w:color w:val="000000" w:themeColor="text1"/>
        </w:rPr>
        <w:t xml:space="preserve">НПВП, а также других препаратов, способствующих повышению АД (гормональные контрацептивы, заместительная терапия женскими половыми гормонами, симпатомиметики, препараты спорыньи, анаболические стероиды и др. – см. рекомендацию </w:t>
      </w:r>
      <w:fldSimple w:instr=" REF _Ref279822674 \n \h  \* MERGEFORMAT ">
        <w:r w:rsidR="00DA18BE" w:rsidRPr="0044196C">
          <w:rPr>
            <w:rFonts w:cs="Times New Roman"/>
            <w:color w:val="000000" w:themeColor="text1"/>
          </w:rPr>
          <w:t>8.6</w:t>
        </w:r>
      </w:fldSimple>
      <w:r w:rsidR="00DA18BE" w:rsidRPr="0044196C">
        <w:rPr>
          <w:rFonts w:cs="Times New Roman"/>
          <w:color w:val="000000" w:themeColor="text1"/>
        </w:rPr>
        <w:t xml:space="preserve">) с последующим направлением к соответствующему специалисту с целью коррекции терапии с максимально возможным ограничением приема препаратов, оказывающих нежелательное влияние на уровень АД, сердечно-сосудистую систему и почки.  </w:t>
      </w:r>
    </w:p>
    <w:p w:rsidR="00B91187" w:rsidRPr="0044196C" w:rsidRDefault="00B91187" w:rsidP="00622DC7">
      <w:pPr>
        <w:pStyle w:val="10"/>
        <w:numPr>
          <w:ilvl w:val="0"/>
          <w:numId w:val="3"/>
        </w:numPr>
        <w:rPr>
          <w:color w:val="000000" w:themeColor="text1"/>
        </w:rPr>
      </w:pPr>
      <w:bookmarkStart w:id="60" w:name="_Toc279732221"/>
      <w:bookmarkStart w:id="61" w:name="_Toc279831044"/>
      <w:r w:rsidRPr="0044196C">
        <w:rPr>
          <w:color w:val="000000" w:themeColor="text1"/>
        </w:rPr>
        <w:t>Лекарственное лечение вторичной почечной АГ</w:t>
      </w:r>
      <w:bookmarkEnd w:id="60"/>
      <w:bookmarkEnd w:id="61"/>
    </w:p>
    <w:p w:rsidR="001212D1" w:rsidRPr="0044196C" w:rsidRDefault="001212D1" w:rsidP="001212D1">
      <w:pPr>
        <w:pStyle w:val="a0"/>
        <w:rPr>
          <w:color w:val="000000" w:themeColor="text1"/>
        </w:rPr>
      </w:pPr>
      <w:bookmarkStart w:id="62" w:name="_Toc279732222"/>
      <w:bookmarkStart w:id="63" w:name="_Ref280263006"/>
      <w:r w:rsidRPr="0044196C">
        <w:rPr>
          <w:color w:val="000000" w:themeColor="text1"/>
        </w:rPr>
        <w:t xml:space="preserve">Выбор </w:t>
      </w:r>
      <w:r w:rsidR="009946BA" w:rsidRPr="0044196C">
        <w:rPr>
          <w:color w:val="000000" w:themeColor="text1"/>
        </w:rPr>
        <w:t xml:space="preserve">препаратов для снижения АД при ХБП </w:t>
      </w:r>
      <w:r w:rsidR="00295DFB" w:rsidRPr="0044196C">
        <w:rPr>
          <w:color w:val="000000" w:themeColor="text1"/>
        </w:rPr>
        <w:t>определяется</w:t>
      </w:r>
      <w:r w:rsidR="00907916" w:rsidRPr="0044196C">
        <w:rPr>
          <w:color w:val="000000" w:themeColor="text1"/>
        </w:rPr>
        <w:t>, в пе</w:t>
      </w:r>
      <w:r w:rsidR="00787266" w:rsidRPr="0044196C">
        <w:rPr>
          <w:color w:val="000000" w:themeColor="text1"/>
        </w:rPr>
        <w:t>рвую очередь,</w:t>
      </w:r>
      <w:r w:rsidR="00295DFB" w:rsidRPr="0044196C">
        <w:rPr>
          <w:color w:val="000000" w:themeColor="text1"/>
        </w:rPr>
        <w:t xml:space="preserve"> целями нефро/кардиопротекции и должен проводиться с учетом данных клинических исследований об их влиянии на почечные и сердечно-сосудистые исходы, а также данных о безопасности их применения на данной стадии ХБП </w:t>
      </w:r>
      <w:r w:rsidR="009946BA" w:rsidRPr="0044196C">
        <w:rPr>
          <w:color w:val="000000" w:themeColor="text1"/>
        </w:rPr>
        <w:t>(НГ).</w:t>
      </w:r>
      <w:bookmarkEnd w:id="62"/>
      <w:bookmarkEnd w:id="63"/>
    </w:p>
    <w:p w:rsidR="004E7BC5" w:rsidRPr="0044196C" w:rsidRDefault="00DD1D19" w:rsidP="00DD7CDD">
      <w:pPr>
        <w:rPr>
          <w:color w:val="000000" w:themeColor="text1"/>
        </w:rPr>
      </w:pPr>
      <w:r w:rsidRPr="0044196C">
        <w:rPr>
          <w:color w:val="000000" w:themeColor="text1"/>
        </w:rPr>
        <w:t>Группы препаратов</w:t>
      </w:r>
      <w:r w:rsidR="00DD7CDD" w:rsidRPr="0044196C">
        <w:rPr>
          <w:color w:val="000000" w:themeColor="text1"/>
        </w:rPr>
        <w:t xml:space="preserve">, </w:t>
      </w:r>
      <w:r w:rsidRPr="0044196C">
        <w:rPr>
          <w:color w:val="000000" w:themeColor="text1"/>
        </w:rPr>
        <w:t>снижающих</w:t>
      </w:r>
      <w:r w:rsidR="00DD7CDD" w:rsidRPr="0044196C">
        <w:rPr>
          <w:color w:val="000000" w:themeColor="text1"/>
        </w:rPr>
        <w:t xml:space="preserve"> АД, </w:t>
      </w:r>
      <w:r w:rsidRPr="0044196C">
        <w:rPr>
          <w:color w:val="000000" w:themeColor="text1"/>
        </w:rPr>
        <w:t>существенно различаются по влиянию на центральную гемодинамику, ССО и прогрессирование ХБП</w:t>
      </w:r>
      <w:r w:rsidR="00AF6343" w:rsidRPr="0044196C">
        <w:rPr>
          <w:color w:val="000000" w:themeColor="text1"/>
        </w:rPr>
        <w:t xml:space="preserve"> (</w:t>
      </w:r>
      <w:fldSimple w:instr=" REF _Ref279912427 \h  \* MERGEFORMAT ">
        <w:r w:rsidR="00AF6343" w:rsidRPr="0044196C">
          <w:rPr>
            <w:color w:val="000000" w:themeColor="text1"/>
          </w:rPr>
          <w:t xml:space="preserve">Таблица </w:t>
        </w:r>
        <w:r w:rsidR="00AF6343" w:rsidRPr="0044196C">
          <w:rPr>
            <w:noProof/>
            <w:color w:val="000000" w:themeColor="text1"/>
          </w:rPr>
          <w:t>12</w:t>
        </w:r>
      </w:fldSimple>
      <w:r w:rsidR="00AF6343" w:rsidRPr="0044196C">
        <w:rPr>
          <w:color w:val="000000" w:themeColor="text1"/>
        </w:rPr>
        <w:t>)</w:t>
      </w:r>
      <w:r w:rsidRPr="0044196C">
        <w:rPr>
          <w:color w:val="000000" w:themeColor="text1"/>
        </w:rPr>
        <w:t xml:space="preserve">. </w:t>
      </w:r>
    </w:p>
    <w:p w:rsidR="00C661EF" w:rsidRPr="0044196C" w:rsidRDefault="00D84ABD" w:rsidP="00DD7CDD">
      <w:pPr>
        <w:rPr>
          <w:color w:val="000000" w:themeColor="text1"/>
        </w:rPr>
      </w:pPr>
      <w:r w:rsidRPr="0044196C">
        <w:rPr>
          <w:color w:val="000000" w:themeColor="text1"/>
        </w:rPr>
        <w:t>При выборе препаратов отдают предпочтение средствам, оказывающим помимо снижения АД, дополнительные органопротективные эффекты в отношении почек и сердечно-сосудистой системы. Задачи нефропротекции являются приоритетными, особенно у пациентов с высоким риском прогрессирования ХБП (</w:t>
      </w:r>
      <w:fldSimple w:instr=" REF _Ref279583165 \h  \* MERGEFORMAT ">
        <w:r w:rsidRPr="0044196C">
          <w:rPr>
            <w:color w:val="000000" w:themeColor="text1"/>
          </w:rPr>
          <w:t xml:space="preserve">Таблица </w:t>
        </w:r>
        <w:r w:rsidRPr="0044196C">
          <w:rPr>
            <w:noProof/>
            <w:color w:val="000000" w:themeColor="text1"/>
          </w:rPr>
          <w:t>9</w:t>
        </w:r>
      </w:fldSimple>
      <w:r w:rsidRPr="0044196C">
        <w:rPr>
          <w:color w:val="000000" w:themeColor="text1"/>
        </w:rPr>
        <w:t>) поскольку сохранение функции почек при ХБП является важнейшим условием снижения риска ССО.</w:t>
      </w:r>
    </w:p>
    <w:p w:rsidR="004E7BC5" w:rsidRPr="0044196C" w:rsidRDefault="00DD1D19" w:rsidP="00DD7CDD">
      <w:pPr>
        <w:rPr>
          <w:color w:val="000000" w:themeColor="text1"/>
        </w:rPr>
      </w:pPr>
      <w:r w:rsidRPr="0044196C">
        <w:rPr>
          <w:color w:val="000000" w:themeColor="text1"/>
        </w:rPr>
        <w:t>Нефропротективные свойства, то есть способность достоверно отдалять н</w:t>
      </w:r>
      <w:r w:rsidR="00AF6343" w:rsidRPr="0044196C">
        <w:rPr>
          <w:color w:val="000000" w:themeColor="text1"/>
        </w:rPr>
        <w:t>аступление ТПН по данным РКИ, до</w:t>
      </w:r>
      <w:r w:rsidRPr="0044196C">
        <w:rPr>
          <w:color w:val="000000" w:themeColor="text1"/>
        </w:rPr>
        <w:t xml:space="preserve">казаны для представителей двух классов </w:t>
      </w:r>
      <w:r w:rsidR="00E44B26" w:rsidRPr="0044196C">
        <w:rPr>
          <w:color w:val="000000" w:themeColor="text1"/>
        </w:rPr>
        <w:t xml:space="preserve">–ингибиторов АПФ (ИАПФ) и блокаторов рецепторов ангиотензина </w:t>
      </w:r>
      <w:r w:rsidR="00E44B26" w:rsidRPr="0044196C">
        <w:rPr>
          <w:color w:val="000000" w:themeColor="text1"/>
          <w:lang w:val="en-US"/>
        </w:rPr>
        <w:t>II</w:t>
      </w:r>
      <w:r w:rsidR="00E44B26" w:rsidRPr="0044196C">
        <w:rPr>
          <w:color w:val="000000" w:themeColor="text1"/>
        </w:rPr>
        <w:t xml:space="preserve"> 1 типа (БРА) – у пациентов с </w:t>
      </w:r>
      <w:r w:rsidR="00AF6343" w:rsidRPr="0044196C">
        <w:rPr>
          <w:color w:val="000000" w:themeColor="text1"/>
        </w:rPr>
        <w:t xml:space="preserve">очень высокой альбуминурией или </w:t>
      </w:r>
      <w:r w:rsidR="00E44B26" w:rsidRPr="0044196C">
        <w:rPr>
          <w:color w:val="000000" w:themeColor="text1"/>
        </w:rPr>
        <w:t>выраженной протеинурией</w:t>
      </w:r>
      <w:r w:rsidR="00AF6343" w:rsidRPr="0044196C">
        <w:rPr>
          <w:color w:val="000000" w:themeColor="text1"/>
        </w:rPr>
        <w:t xml:space="preserve"> (категория А3). При альбуминурии категории А2 имеются </w:t>
      </w:r>
      <w:r w:rsidR="004E7BC5" w:rsidRPr="0044196C">
        <w:rPr>
          <w:color w:val="000000" w:themeColor="text1"/>
        </w:rPr>
        <w:t xml:space="preserve">рациональные аргументы в пользу назначения ИАПФ или БРА, однако в настоящее время отсутствуют РКИ, с высокой степенью доказательности подтверждающие преимущества препаратов, подавляющих </w:t>
      </w:r>
      <w:r w:rsidR="004E7BC5" w:rsidRPr="0044196C">
        <w:rPr>
          <w:color w:val="000000" w:themeColor="text1"/>
        </w:rPr>
        <w:lastRenderedPageBreak/>
        <w:t>РАС</w:t>
      </w:r>
      <w:r w:rsidR="006B6429" w:rsidRPr="0044196C">
        <w:rPr>
          <w:color w:val="000000" w:themeColor="text1"/>
        </w:rPr>
        <w:t>,</w:t>
      </w:r>
      <w:r w:rsidR="004E7BC5" w:rsidRPr="0044196C">
        <w:rPr>
          <w:color w:val="000000" w:themeColor="text1"/>
        </w:rPr>
        <w:t xml:space="preserve"> перед другими п</w:t>
      </w:r>
      <w:r w:rsidR="006B6429" w:rsidRPr="0044196C">
        <w:rPr>
          <w:color w:val="000000" w:themeColor="text1"/>
        </w:rPr>
        <w:t>репаратами, снижающими АД</w:t>
      </w:r>
      <w:r w:rsidR="00320079" w:rsidRPr="0044196C">
        <w:rPr>
          <w:color w:val="000000" w:themeColor="text1"/>
        </w:rPr>
        <w:t xml:space="preserve"> (см.</w:t>
      </w:r>
      <w:r w:rsidR="00AF6343" w:rsidRPr="0044196C">
        <w:rPr>
          <w:color w:val="000000" w:themeColor="text1"/>
        </w:rPr>
        <w:t xml:space="preserve"> рекомендации </w:t>
      </w:r>
      <w:fldSimple w:instr=" REF _Ref279912535 \n \h  \* MERGEFORMAT ">
        <w:r w:rsidR="00AF6343" w:rsidRPr="0044196C">
          <w:rPr>
            <w:color w:val="000000" w:themeColor="text1"/>
          </w:rPr>
          <w:t>8.2</w:t>
        </w:r>
      </w:fldSimple>
      <w:r w:rsidR="00AF6343" w:rsidRPr="0044196C">
        <w:rPr>
          <w:color w:val="000000" w:themeColor="text1"/>
        </w:rPr>
        <w:t>-</w:t>
      </w:r>
      <w:fldSimple w:instr=" REF _Ref279912549 \n \h  \* MERGEFORMAT ">
        <w:r w:rsidR="00AF6343" w:rsidRPr="0044196C">
          <w:rPr>
            <w:color w:val="000000" w:themeColor="text1"/>
          </w:rPr>
          <w:t>8.5</w:t>
        </w:r>
      </w:fldSimple>
      <w:r w:rsidR="00320079" w:rsidRPr="0044196C">
        <w:rPr>
          <w:color w:val="000000" w:themeColor="text1"/>
        </w:rPr>
        <w:t>)</w:t>
      </w:r>
      <w:r w:rsidR="00E44B26" w:rsidRPr="0044196C">
        <w:rPr>
          <w:color w:val="000000" w:themeColor="text1"/>
        </w:rPr>
        <w:t xml:space="preserve">. </w:t>
      </w:r>
      <w:r w:rsidR="006B6429" w:rsidRPr="0044196C">
        <w:rPr>
          <w:color w:val="000000" w:themeColor="text1"/>
        </w:rPr>
        <w:t>При альбуминурии класса А1 считается, что препараты, подавляющие РАС, не обладают преимуществами в плане нефропротекции по сравнению с другими антигипертензивными средствами.</w:t>
      </w:r>
    </w:p>
    <w:p w:rsidR="000C3C2D" w:rsidRPr="0044196C" w:rsidRDefault="000C3C2D" w:rsidP="00DD7CDD">
      <w:pPr>
        <w:rPr>
          <w:color w:val="000000" w:themeColor="text1"/>
        </w:rPr>
      </w:pPr>
      <w:r w:rsidRPr="0044196C">
        <w:rPr>
          <w:color w:val="000000" w:themeColor="text1"/>
        </w:rPr>
        <w:t xml:space="preserve">В экспериментальных исследованиях было показано, что антагонисты кальция недигидропиридинового ряда </w:t>
      </w:r>
      <w:r w:rsidR="007C58B4" w:rsidRPr="0044196C">
        <w:rPr>
          <w:color w:val="000000" w:themeColor="text1"/>
        </w:rPr>
        <w:t>(АКнд</w:t>
      </w:r>
      <w:r w:rsidR="00E5659E" w:rsidRPr="0044196C">
        <w:rPr>
          <w:color w:val="000000" w:themeColor="text1"/>
        </w:rPr>
        <w:t xml:space="preserve">) </w:t>
      </w:r>
      <w:r w:rsidRPr="0044196C">
        <w:rPr>
          <w:color w:val="000000" w:themeColor="text1"/>
        </w:rPr>
        <w:t xml:space="preserve">могут оказывать антипротеинурический эффект за счет снижения внутриклубочкового давления, действуя подобно ИАПФ и БРА преимущественно на выносящую артериолу. </w:t>
      </w:r>
      <w:r w:rsidR="00E5659E" w:rsidRPr="0044196C">
        <w:rPr>
          <w:color w:val="000000" w:themeColor="text1"/>
        </w:rPr>
        <w:t xml:space="preserve">В то же время нифедипин преимущественно расширяет приносящую артериолу, усиливая гиперперфузию клубочков, клубочковую гипертензию и повышая альбуминурию. </w:t>
      </w:r>
      <w:r w:rsidRPr="0044196C">
        <w:rPr>
          <w:color w:val="000000" w:themeColor="text1"/>
        </w:rPr>
        <w:t xml:space="preserve">Однако значение </w:t>
      </w:r>
      <w:r w:rsidR="00E5659E" w:rsidRPr="0044196C">
        <w:rPr>
          <w:color w:val="000000" w:themeColor="text1"/>
        </w:rPr>
        <w:t>этих особенностей</w:t>
      </w:r>
      <w:r w:rsidRPr="0044196C">
        <w:rPr>
          <w:color w:val="000000" w:themeColor="text1"/>
        </w:rPr>
        <w:t xml:space="preserve"> при клиническом применении </w:t>
      </w:r>
      <w:r w:rsidR="00E5659E" w:rsidRPr="0044196C">
        <w:rPr>
          <w:color w:val="000000" w:themeColor="text1"/>
        </w:rPr>
        <w:t xml:space="preserve">АК </w:t>
      </w:r>
      <w:r w:rsidRPr="0044196C">
        <w:rPr>
          <w:color w:val="000000" w:themeColor="text1"/>
        </w:rPr>
        <w:t>о</w:t>
      </w:r>
      <w:r w:rsidR="009B5BDE" w:rsidRPr="0044196C">
        <w:rPr>
          <w:color w:val="000000" w:themeColor="text1"/>
        </w:rPr>
        <w:t xml:space="preserve">стается недостаточно изученным. </w:t>
      </w:r>
      <w:r w:rsidR="007C58B4" w:rsidRPr="0044196C">
        <w:rPr>
          <w:color w:val="000000" w:themeColor="text1"/>
        </w:rPr>
        <w:t>Самостоятельное применение АКнд с нефропротективной целью – как альтернативы ИАПФ или БРА – не рекомендуется. Сочетанное применения с препаратами, подавляющими РАС, нивелирует негативное влияние АКд на почечную гемодинамику</w:t>
      </w:r>
      <w:r w:rsidR="006B6429" w:rsidRPr="0044196C">
        <w:rPr>
          <w:color w:val="000000" w:themeColor="text1"/>
        </w:rPr>
        <w:t xml:space="preserve"> и альбуминурию</w:t>
      </w:r>
      <w:r w:rsidR="007C58B4" w:rsidRPr="0044196C">
        <w:rPr>
          <w:color w:val="000000" w:themeColor="text1"/>
        </w:rPr>
        <w:t>.</w:t>
      </w:r>
    </w:p>
    <w:p w:rsidR="006B6429" w:rsidRPr="0044196C" w:rsidRDefault="006B6429" w:rsidP="00DD7CDD">
      <w:pPr>
        <w:rPr>
          <w:color w:val="000000" w:themeColor="text1"/>
        </w:rPr>
      </w:pPr>
      <w:r w:rsidRPr="0044196C">
        <w:rPr>
          <w:color w:val="000000" w:themeColor="text1"/>
        </w:rPr>
        <w:t>Благоприятное влияние на риск ССО показано для многих классов препаратов, снижающих АД</w:t>
      </w:r>
      <w:r w:rsidR="002942E9" w:rsidRPr="0044196C">
        <w:rPr>
          <w:color w:val="000000" w:themeColor="text1"/>
        </w:rPr>
        <w:t>,</w:t>
      </w:r>
      <w:r w:rsidRPr="0044196C">
        <w:rPr>
          <w:color w:val="000000" w:themeColor="text1"/>
        </w:rPr>
        <w:t xml:space="preserve"> (</w:t>
      </w:r>
      <w:fldSimple w:instr=" REF _Ref279912427 \h  \* MERGEFORMAT ">
        <w:r w:rsidR="002942E9" w:rsidRPr="0044196C">
          <w:rPr>
            <w:color w:val="000000" w:themeColor="text1"/>
          </w:rPr>
          <w:t xml:space="preserve">Таблица </w:t>
        </w:r>
        <w:r w:rsidR="002942E9" w:rsidRPr="0044196C">
          <w:rPr>
            <w:noProof/>
            <w:color w:val="000000" w:themeColor="text1"/>
          </w:rPr>
          <w:t>12</w:t>
        </w:r>
      </w:fldSimple>
      <w:r w:rsidRPr="0044196C">
        <w:rPr>
          <w:color w:val="000000" w:themeColor="text1"/>
        </w:rPr>
        <w:t>)</w:t>
      </w:r>
      <w:r w:rsidR="002942E9" w:rsidRPr="0044196C">
        <w:rPr>
          <w:color w:val="000000" w:themeColor="text1"/>
        </w:rPr>
        <w:t xml:space="preserve"> в крупных РКИ, включающих в том числе пациентов с ХБП и больных сахарным диабетом. Особенности влияния различных групп препаратов, снижающих АД, на риск ССО в зависимости от наличия ХБП, ее стадии, нозологической формы не изучены. При определении препаратов выбора </w:t>
      </w:r>
      <w:r w:rsidR="00D84ABD" w:rsidRPr="0044196C">
        <w:rPr>
          <w:color w:val="000000" w:themeColor="text1"/>
        </w:rPr>
        <w:t>у пациентов с ХБП руководствуются общими принципами</w:t>
      </w:r>
      <w:r w:rsidR="00E41872" w:rsidRPr="0044196C">
        <w:rPr>
          <w:color w:val="000000" w:themeColor="text1"/>
        </w:rPr>
        <w:t xml:space="preserve">, изложенными в Национальных рекомендациях по </w:t>
      </w:r>
      <w:r w:rsidR="002C49EE" w:rsidRPr="0044196C">
        <w:rPr>
          <w:color w:val="000000" w:themeColor="text1"/>
        </w:rPr>
        <w:t>лечению</w:t>
      </w:r>
      <w:r w:rsidR="00E41872" w:rsidRPr="0044196C">
        <w:rPr>
          <w:color w:val="000000" w:themeColor="text1"/>
        </w:rPr>
        <w:t xml:space="preserve"> АГ [], учитывая наличие ишемической болезни сердца, аритмии, сердечной недостаточности, облитерирующего атеросклероза периферических артерий, метаболического синдрома. </w:t>
      </w:r>
    </w:p>
    <w:p w:rsidR="00D92B1F" w:rsidRPr="0044196C" w:rsidRDefault="00AE0FF2" w:rsidP="009946BA">
      <w:pPr>
        <w:rPr>
          <w:color w:val="000000" w:themeColor="text1"/>
        </w:rPr>
      </w:pPr>
      <w:r w:rsidRPr="0044196C">
        <w:rPr>
          <w:color w:val="000000" w:themeColor="text1"/>
        </w:rPr>
        <w:t>Учитывая, что антигипертензивная терапия назначается на длительное время, немаловажное значение для выбора препаратов играют факторы, влияющие на приверженность пациентов лечению: использование препаратов, более доступных по цене, имеющих пролонгированное действие с возможностью однократного приема в течение суток, фиксированных комбинаций, которые позволяют уменьшить число принимаемых таблеток</w:t>
      </w:r>
      <w:r w:rsidRPr="0044196C">
        <w:rPr>
          <w:rStyle w:val="32"/>
          <w:color w:val="000000" w:themeColor="text1"/>
          <w:sz w:val="20"/>
        </w:rPr>
        <w:t xml:space="preserve">. </w:t>
      </w:r>
    </w:p>
    <w:p w:rsidR="00D92B1F" w:rsidRPr="0044196C" w:rsidRDefault="00D92B1F" w:rsidP="00D92B1F">
      <w:pPr>
        <w:ind w:firstLine="0"/>
        <w:rPr>
          <w:color w:val="000000" w:themeColor="text1"/>
        </w:rPr>
        <w:sectPr w:rsidR="00D92B1F" w:rsidRPr="0044196C" w:rsidSect="00960243">
          <w:footerReference w:type="default" r:id="rId8"/>
          <w:pgSz w:w="11906" w:h="16838"/>
          <w:pgMar w:top="851" w:right="850" w:bottom="851" w:left="1701" w:header="708" w:footer="181" w:gutter="0"/>
          <w:cols w:space="708"/>
          <w:docGrid w:linePitch="360"/>
        </w:sectPr>
      </w:pPr>
    </w:p>
    <w:p w:rsidR="00DF40EA" w:rsidRPr="0044196C" w:rsidRDefault="00DF40EA" w:rsidP="00454696">
      <w:pPr>
        <w:pStyle w:val="af4"/>
        <w:tabs>
          <w:tab w:val="left" w:pos="15451"/>
        </w:tabs>
        <w:rPr>
          <w:b w:val="0"/>
          <w:color w:val="000000" w:themeColor="text1"/>
          <w:sz w:val="28"/>
          <w:szCs w:val="28"/>
        </w:rPr>
      </w:pPr>
      <w:bookmarkStart w:id="64" w:name="_Ref279912427"/>
      <w:r w:rsidRPr="0044196C">
        <w:rPr>
          <w:color w:val="000000" w:themeColor="text1"/>
        </w:rPr>
        <w:lastRenderedPageBreak/>
        <w:t xml:space="preserve">Таблица </w:t>
      </w:r>
      <w:r w:rsidR="009D7C63" w:rsidRPr="0044196C">
        <w:rPr>
          <w:color w:val="000000" w:themeColor="text1"/>
        </w:rPr>
        <w:fldChar w:fldCharType="begin"/>
      </w:r>
      <w:r w:rsidR="009D7C63" w:rsidRPr="0044196C">
        <w:rPr>
          <w:color w:val="000000" w:themeColor="text1"/>
        </w:rPr>
        <w:instrText xml:space="preserve"> SEQ Таблица \* ARABIC </w:instrText>
      </w:r>
      <w:r w:rsidR="009D7C63" w:rsidRPr="0044196C">
        <w:rPr>
          <w:color w:val="000000" w:themeColor="text1"/>
        </w:rPr>
        <w:fldChar w:fldCharType="separate"/>
      </w:r>
      <w:r w:rsidRPr="0044196C">
        <w:rPr>
          <w:noProof/>
          <w:color w:val="000000" w:themeColor="text1"/>
        </w:rPr>
        <w:t>12</w:t>
      </w:r>
      <w:r w:rsidR="009D7C63" w:rsidRPr="0044196C">
        <w:rPr>
          <w:color w:val="000000" w:themeColor="text1"/>
        </w:rPr>
        <w:fldChar w:fldCharType="end"/>
      </w:r>
      <w:bookmarkEnd w:id="64"/>
    </w:p>
    <w:p w:rsidR="00D92B1F" w:rsidRPr="0044196C" w:rsidRDefault="00895509" w:rsidP="00787266">
      <w:pPr>
        <w:autoSpaceDE w:val="0"/>
        <w:autoSpaceDN w:val="0"/>
        <w:adjustRightInd w:val="0"/>
        <w:spacing w:before="0" w:after="120" w:line="240" w:lineRule="auto"/>
        <w:jc w:val="center"/>
        <w:rPr>
          <w:b/>
          <w:color w:val="000000" w:themeColor="text1"/>
          <w:sz w:val="28"/>
          <w:szCs w:val="28"/>
        </w:rPr>
      </w:pPr>
      <w:r w:rsidRPr="0044196C">
        <w:rPr>
          <w:b/>
          <w:color w:val="000000" w:themeColor="text1"/>
          <w:sz w:val="28"/>
          <w:szCs w:val="28"/>
        </w:rPr>
        <w:t>Основные классы средств, снижающих АД, применяемых при ХБП,</w:t>
      </w:r>
      <w:r w:rsidR="0051560D" w:rsidRPr="0044196C">
        <w:rPr>
          <w:b/>
          <w:color w:val="000000" w:themeColor="text1"/>
          <w:sz w:val="28"/>
          <w:szCs w:val="28"/>
        </w:rPr>
        <w:t xml:space="preserve"> и их свойства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8"/>
        <w:gridCol w:w="1275"/>
        <w:gridCol w:w="1276"/>
        <w:gridCol w:w="2977"/>
        <w:gridCol w:w="4786"/>
        <w:gridCol w:w="3940"/>
      </w:tblGrid>
      <w:tr w:rsidR="00787266" w:rsidRPr="0044196C" w:rsidTr="00787266">
        <w:trPr>
          <w:tblHeader/>
        </w:trPr>
        <w:tc>
          <w:tcPr>
            <w:tcW w:w="1668" w:type="dxa"/>
            <w:shd w:val="clear" w:color="auto" w:fill="336699"/>
            <w:vAlign w:val="center"/>
          </w:tcPr>
          <w:p w:rsidR="00D92B1F" w:rsidRPr="0044196C" w:rsidRDefault="0051560D" w:rsidP="007339C4">
            <w:pPr>
              <w:keepLines/>
              <w:autoSpaceDE w:val="0"/>
              <w:autoSpaceDN w:val="0"/>
              <w:adjustRightInd w:val="0"/>
              <w:spacing w:beforeLines="60" w:afterLines="60"/>
              <w:ind w:firstLine="0"/>
              <w:jc w:val="center"/>
              <w:rPr>
                <w:rFonts w:asciiTheme="minorHAnsi" w:hAnsiTheme="minorHAnsi"/>
                <w:b/>
                <w:bCs/>
                <w:color w:val="000000" w:themeColor="text1"/>
              </w:rPr>
            </w:pPr>
            <w:r w:rsidRPr="0044196C">
              <w:rPr>
                <w:rFonts w:asciiTheme="minorHAnsi" w:hAnsiTheme="minorHAnsi"/>
                <w:b/>
                <w:bCs/>
                <w:color w:val="000000" w:themeColor="text1"/>
              </w:rPr>
              <w:t>Группы препаратов</w:t>
            </w:r>
          </w:p>
        </w:tc>
        <w:tc>
          <w:tcPr>
            <w:tcW w:w="1275" w:type="dxa"/>
            <w:shd w:val="clear" w:color="auto" w:fill="336699"/>
            <w:vAlign w:val="center"/>
          </w:tcPr>
          <w:p w:rsidR="00D92B1F" w:rsidRPr="0044196C" w:rsidRDefault="00D92B1F" w:rsidP="007339C4">
            <w:pPr>
              <w:keepLines/>
              <w:autoSpaceDE w:val="0"/>
              <w:autoSpaceDN w:val="0"/>
              <w:adjustRightInd w:val="0"/>
              <w:spacing w:beforeLines="60" w:afterLines="60"/>
              <w:ind w:firstLine="0"/>
              <w:jc w:val="center"/>
              <w:rPr>
                <w:rFonts w:asciiTheme="minorHAnsi" w:hAnsiTheme="minorHAnsi"/>
                <w:b/>
                <w:bCs/>
                <w:color w:val="000000" w:themeColor="text1"/>
              </w:rPr>
            </w:pPr>
            <w:r w:rsidRPr="0044196C">
              <w:rPr>
                <w:rFonts w:asciiTheme="minorHAnsi" w:hAnsiTheme="minorHAnsi"/>
                <w:b/>
                <w:bCs/>
                <w:color w:val="000000" w:themeColor="text1"/>
              </w:rPr>
              <w:t>Снижение риска</w:t>
            </w:r>
            <w:r w:rsidR="006A4269" w:rsidRPr="0044196C">
              <w:rPr>
                <w:rFonts w:asciiTheme="minorHAnsi" w:hAnsiTheme="minorHAnsi"/>
                <w:b/>
                <w:bCs/>
                <w:color w:val="000000" w:themeColor="text1"/>
              </w:rPr>
              <w:t xml:space="preserve"> ССО</w:t>
            </w:r>
          </w:p>
        </w:tc>
        <w:tc>
          <w:tcPr>
            <w:tcW w:w="1276" w:type="dxa"/>
            <w:shd w:val="clear" w:color="auto" w:fill="336699"/>
            <w:vAlign w:val="center"/>
          </w:tcPr>
          <w:p w:rsidR="00D92B1F" w:rsidRPr="0044196C" w:rsidRDefault="00D92B1F" w:rsidP="007339C4">
            <w:pPr>
              <w:keepLines/>
              <w:autoSpaceDE w:val="0"/>
              <w:autoSpaceDN w:val="0"/>
              <w:adjustRightInd w:val="0"/>
              <w:spacing w:beforeLines="60" w:afterLines="60"/>
              <w:ind w:firstLine="0"/>
              <w:jc w:val="center"/>
              <w:rPr>
                <w:rFonts w:asciiTheme="minorHAnsi" w:hAnsiTheme="minorHAnsi"/>
                <w:b/>
                <w:bCs/>
                <w:color w:val="000000" w:themeColor="text1"/>
              </w:rPr>
            </w:pPr>
            <w:r w:rsidRPr="0044196C">
              <w:rPr>
                <w:rFonts w:asciiTheme="minorHAnsi" w:hAnsiTheme="minorHAnsi"/>
                <w:b/>
                <w:bCs/>
                <w:color w:val="000000" w:themeColor="text1"/>
              </w:rPr>
              <w:t>Нефро</w:t>
            </w:r>
            <w:r w:rsidRPr="0044196C">
              <w:rPr>
                <w:rFonts w:asciiTheme="minorHAnsi" w:hAnsiTheme="minorHAnsi"/>
                <w:b/>
                <w:bCs/>
                <w:color w:val="000000" w:themeColor="text1"/>
              </w:rPr>
              <w:noBreakHyphen/>
            </w:r>
            <w:r w:rsidRPr="0044196C">
              <w:rPr>
                <w:rFonts w:asciiTheme="minorHAnsi" w:hAnsiTheme="minorHAnsi"/>
                <w:b/>
                <w:bCs/>
                <w:color w:val="000000" w:themeColor="text1"/>
              </w:rPr>
              <w:br/>
              <w:t>протекция</w:t>
            </w:r>
          </w:p>
        </w:tc>
        <w:tc>
          <w:tcPr>
            <w:tcW w:w="2977" w:type="dxa"/>
            <w:shd w:val="clear" w:color="auto" w:fill="336699"/>
            <w:vAlign w:val="center"/>
          </w:tcPr>
          <w:p w:rsidR="00D92B1F" w:rsidRPr="0044196C" w:rsidRDefault="00D92B1F" w:rsidP="007339C4">
            <w:pPr>
              <w:keepLines/>
              <w:autoSpaceDE w:val="0"/>
              <w:autoSpaceDN w:val="0"/>
              <w:adjustRightInd w:val="0"/>
              <w:spacing w:beforeLines="60" w:afterLines="60"/>
              <w:ind w:firstLine="0"/>
              <w:jc w:val="center"/>
              <w:rPr>
                <w:rFonts w:asciiTheme="minorHAnsi" w:hAnsiTheme="minorHAnsi"/>
                <w:b/>
                <w:bCs/>
                <w:color w:val="000000" w:themeColor="text1"/>
              </w:rPr>
            </w:pPr>
            <w:r w:rsidRPr="0044196C">
              <w:rPr>
                <w:rFonts w:asciiTheme="minorHAnsi" w:hAnsiTheme="minorHAnsi"/>
                <w:b/>
                <w:bCs/>
                <w:color w:val="000000" w:themeColor="text1"/>
              </w:rPr>
              <w:t xml:space="preserve">Клинические ситуации </w:t>
            </w:r>
            <w:r w:rsidRPr="0044196C">
              <w:rPr>
                <w:rFonts w:asciiTheme="minorHAnsi" w:hAnsiTheme="minorHAnsi"/>
                <w:b/>
                <w:bCs/>
                <w:color w:val="000000" w:themeColor="text1"/>
              </w:rPr>
              <w:br/>
              <w:t>в пользу применения</w:t>
            </w:r>
          </w:p>
        </w:tc>
        <w:tc>
          <w:tcPr>
            <w:tcW w:w="4786" w:type="dxa"/>
            <w:shd w:val="clear" w:color="auto" w:fill="336699"/>
            <w:vAlign w:val="center"/>
          </w:tcPr>
          <w:p w:rsidR="00D92B1F" w:rsidRPr="0044196C" w:rsidRDefault="00D92B1F" w:rsidP="007339C4">
            <w:pPr>
              <w:keepLines/>
              <w:autoSpaceDE w:val="0"/>
              <w:autoSpaceDN w:val="0"/>
              <w:adjustRightInd w:val="0"/>
              <w:spacing w:beforeLines="60" w:afterLines="60"/>
              <w:ind w:left="340" w:hanging="340"/>
              <w:jc w:val="center"/>
              <w:rPr>
                <w:rFonts w:asciiTheme="minorHAnsi" w:hAnsiTheme="minorHAnsi"/>
                <w:b/>
                <w:bCs/>
                <w:color w:val="000000" w:themeColor="text1"/>
              </w:rPr>
            </w:pPr>
            <w:r w:rsidRPr="0044196C">
              <w:rPr>
                <w:rFonts w:asciiTheme="minorHAnsi" w:hAnsiTheme="minorHAnsi"/>
                <w:b/>
                <w:bCs/>
                <w:color w:val="000000" w:themeColor="text1"/>
              </w:rPr>
              <w:t>Основные нежелательные явления</w:t>
            </w:r>
          </w:p>
        </w:tc>
        <w:tc>
          <w:tcPr>
            <w:tcW w:w="3940" w:type="dxa"/>
            <w:shd w:val="clear" w:color="auto" w:fill="336699"/>
            <w:vAlign w:val="center"/>
          </w:tcPr>
          <w:p w:rsidR="00D92B1F" w:rsidRPr="0044196C" w:rsidRDefault="00D92B1F" w:rsidP="007339C4">
            <w:pPr>
              <w:keepLines/>
              <w:autoSpaceDE w:val="0"/>
              <w:autoSpaceDN w:val="0"/>
              <w:adjustRightInd w:val="0"/>
              <w:spacing w:beforeLines="60" w:afterLines="60"/>
              <w:ind w:firstLine="0"/>
              <w:jc w:val="center"/>
              <w:rPr>
                <w:rFonts w:asciiTheme="minorHAnsi" w:hAnsiTheme="minorHAnsi"/>
                <w:b/>
                <w:bCs/>
                <w:color w:val="000000" w:themeColor="text1"/>
              </w:rPr>
            </w:pPr>
            <w:r w:rsidRPr="0044196C">
              <w:rPr>
                <w:rFonts w:asciiTheme="minorHAnsi" w:hAnsiTheme="minorHAnsi"/>
                <w:b/>
                <w:bCs/>
                <w:color w:val="000000" w:themeColor="text1"/>
              </w:rPr>
              <w:t>Противопоказания</w:t>
            </w:r>
          </w:p>
        </w:tc>
      </w:tr>
      <w:tr w:rsidR="00787266" w:rsidRPr="0044196C" w:rsidTr="00787266">
        <w:tc>
          <w:tcPr>
            <w:tcW w:w="1668" w:type="dxa"/>
            <w:shd w:val="clear" w:color="auto" w:fill="DBE5F1"/>
          </w:tcPr>
          <w:p w:rsidR="0051560D" w:rsidRPr="0044196C" w:rsidRDefault="0051560D" w:rsidP="00787266">
            <w:pPr>
              <w:keepLines/>
              <w:autoSpaceDE w:val="0"/>
              <w:autoSpaceDN w:val="0"/>
              <w:adjustRightInd w:val="0"/>
              <w:spacing w:before="60" w:after="60"/>
              <w:ind w:firstLine="0"/>
              <w:jc w:val="left"/>
              <w:rPr>
                <w:b/>
                <w:bCs/>
                <w:color w:val="000000" w:themeColor="text1"/>
              </w:rPr>
            </w:pPr>
            <w:r w:rsidRPr="0044196C">
              <w:rPr>
                <w:b/>
                <w:bCs/>
                <w:color w:val="000000" w:themeColor="text1"/>
              </w:rPr>
              <w:t>Ингибиторы АПФ</w:t>
            </w:r>
            <w:r w:rsidR="00DD1D19" w:rsidRPr="0044196C">
              <w:rPr>
                <w:b/>
                <w:bCs/>
                <w:color w:val="000000" w:themeColor="text1"/>
              </w:rPr>
              <w:t xml:space="preserve"> (ИАПФ)</w:t>
            </w:r>
          </w:p>
        </w:tc>
        <w:tc>
          <w:tcPr>
            <w:tcW w:w="1275" w:type="dxa"/>
            <w:shd w:val="clear" w:color="auto" w:fill="DBE5F1"/>
          </w:tcPr>
          <w:p w:rsidR="0051560D" w:rsidRPr="0044196C" w:rsidRDefault="0051560D" w:rsidP="00787266">
            <w:pPr>
              <w:keepLines/>
              <w:autoSpaceDE w:val="0"/>
              <w:autoSpaceDN w:val="0"/>
              <w:adjustRightInd w:val="0"/>
              <w:spacing w:before="60" w:after="60"/>
              <w:ind w:firstLine="0"/>
              <w:jc w:val="center"/>
              <w:rPr>
                <w:color w:val="000000" w:themeColor="text1"/>
              </w:rPr>
            </w:pPr>
            <w:r w:rsidRPr="0044196C">
              <w:rPr>
                <w:color w:val="000000" w:themeColor="text1"/>
              </w:rPr>
              <w:t>+++</w:t>
            </w:r>
          </w:p>
        </w:tc>
        <w:tc>
          <w:tcPr>
            <w:tcW w:w="1276" w:type="dxa"/>
            <w:shd w:val="clear" w:color="auto" w:fill="DBE5F1"/>
          </w:tcPr>
          <w:p w:rsidR="0051560D" w:rsidRPr="0044196C" w:rsidRDefault="0051560D" w:rsidP="00787266">
            <w:pPr>
              <w:keepLines/>
              <w:autoSpaceDE w:val="0"/>
              <w:autoSpaceDN w:val="0"/>
              <w:adjustRightInd w:val="0"/>
              <w:spacing w:before="60" w:after="60"/>
              <w:ind w:firstLine="0"/>
              <w:jc w:val="center"/>
              <w:rPr>
                <w:color w:val="000000" w:themeColor="text1"/>
              </w:rPr>
            </w:pPr>
            <w:r w:rsidRPr="0044196C">
              <w:rPr>
                <w:color w:val="000000" w:themeColor="text1"/>
              </w:rPr>
              <w:t>+++</w:t>
            </w:r>
          </w:p>
        </w:tc>
        <w:tc>
          <w:tcPr>
            <w:tcW w:w="2977" w:type="dxa"/>
            <w:shd w:val="clear" w:color="auto" w:fill="DBE5F1"/>
          </w:tcPr>
          <w:p w:rsidR="0051560D" w:rsidRPr="0044196C" w:rsidRDefault="00DF40EA" w:rsidP="00787266">
            <w:pPr>
              <w:keepLines/>
              <w:autoSpaceDE w:val="0"/>
              <w:autoSpaceDN w:val="0"/>
              <w:adjustRightInd w:val="0"/>
              <w:spacing w:before="60" w:after="60"/>
              <w:ind w:firstLine="0"/>
              <w:jc w:val="left"/>
              <w:rPr>
                <w:color w:val="000000" w:themeColor="text1"/>
              </w:rPr>
            </w:pPr>
            <w:r w:rsidRPr="0044196C">
              <w:rPr>
                <w:color w:val="000000" w:themeColor="text1"/>
              </w:rPr>
              <w:t xml:space="preserve">ХБП А2-3, </w:t>
            </w:r>
            <w:r w:rsidR="0051560D" w:rsidRPr="0044196C">
              <w:rPr>
                <w:color w:val="000000" w:themeColor="text1"/>
              </w:rPr>
              <w:t>Хроническая сердечная недостаточность, гипертрофия и дисфункция левого желудочка сердца, постинфарктный кардиосклероз, сахарный диабет</w:t>
            </w:r>
          </w:p>
        </w:tc>
        <w:tc>
          <w:tcPr>
            <w:tcW w:w="4786" w:type="dxa"/>
            <w:shd w:val="clear" w:color="auto" w:fill="DBE5F1"/>
          </w:tcPr>
          <w:p w:rsidR="00DF40EA" w:rsidRPr="0044196C" w:rsidRDefault="00DF40EA"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Резкое падение функции почек у больных с дву</w:t>
            </w:r>
            <w:r w:rsidR="001E23F7" w:rsidRPr="0044196C">
              <w:rPr>
                <w:color w:val="000000" w:themeColor="text1"/>
              </w:rPr>
              <w:t>х</w:t>
            </w:r>
            <w:r w:rsidRPr="0044196C">
              <w:rPr>
                <w:color w:val="000000" w:themeColor="text1"/>
              </w:rPr>
              <w:t>сторонним гемодинамически значимым стенозом почечных артерий, гиповолемией, снижением сердечного выброса, выраженной ХПН</w:t>
            </w:r>
          </w:p>
          <w:p w:rsidR="00DF40EA" w:rsidRPr="0044196C" w:rsidRDefault="00DF40EA"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Гиперкалиемия</w:t>
            </w:r>
          </w:p>
          <w:p w:rsidR="0051560D" w:rsidRPr="0044196C" w:rsidRDefault="0051560D"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Непродуктивный сухой кашель</w:t>
            </w:r>
          </w:p>
          <w:p w:rsidR="0051560D" w:rsidRPr="0044196C" w:rsidRDefault="0051560D"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Ангионевротический отек</w:t>
            </w:r>
          </w:p>
          <w:p w:rsidR="0051560D" w:rsidRPr="0044196C" w:rsidRDefault="0051560D"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Гипотония</w:t>
            </w:r>
          </w:p>
          <w:p w:rsidR="0051560D" w:rsidRPr="0044196C" w:rsidRDefault="00DF40EA"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Снижение ответа на препараты, стимулирующие эритропоэз</w:t>
            </w:r>
          </w:p>
          <w:p w:rsidR="0051560D" w:rsidRPr="0044196C" w:rsidRDefault="0051560D"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Нарушение внутриутробного развития (пороки сердца и др.)</w:t>
            </w:r>
          </w:p>
          <w:p w:rsidR="0051560D" w:rsidRPr="0044196C" w:rsidRDefault="0051560D"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Другие: головокружение, судороги, парестезии, ди</w:t>
            </w:r>
            <w:r w:rsidR="00DF40EA" w:rsidRPr="0044196C">
              <w:rPr>
                <w:color w:val="000000" w:themeColor="text1"/>
              </w:rPr>
              <w:t>спепсия, желтуха, цитопения,</w:t>
            </w:r>
            <w:r w:rsidRPr="0044196C">
              <w:rPr>
                <w:color w:val="000000" w:themeColor="text1"/>
              </w:rPr>
              <w:t xml:space="preserve"> аллергические реакции</w:t>
            </w:r>
          </w:p>
        </w:tc>
        <w:tc>
          <w:tcPr>
            <w:tcW w:w="3940" w:type="dxa"/>
            <w:shd w:val="clear" w:color="auto" w:fill="DBE5F1"/>
          </w:tcPr>
          <w:p w:rsidR="0051560D" w:rsidRPr="0044196C" w:rsidRDefault="0051560D" w:rsidP="00787266">
            <w:pPr>
              <w:keepLines/>
              <w:autoSpaceDE w:val="0"/>
              <w:autoSpaceDN w:val="0"/>
              <w:adjustRightInd w:val="0"/>
              <w:spacing w:before="60" w:after="60"/>
              <w:ind w:firstLine="0"/>
              <w:jc w:val="left"/>
              <w:rPr>
                <w:color w:val="000000" w:themeColor="text1"/>
              </w:rPr>
            </w:pPr>
            <w:r w:rsidRPr="0044196C">
              <w:rPr>
                <w:color w:val="000000" w:themeColor="text1"/>
              </w:rPr>
              <w:t>Беременность, лактация гиперкалиемия, дву</w:t>
            </w:r>
            <w:r w:rsidR="001E23F7" w:rsidRPr="0044196C">
              <w:rPr>
                <w:color w:val="000000" w:themeColor="text1"/>
              </w:rPr>
              <w:t>х</w:t>
            </w:r>
            <w:r w:rsidRPr="0044196C">
              <w:rPr>
                <w:color w:val="000000" w:themeColor="text1"/>
              </w:rPr>
              <w:t xml:space="preserve">сторонний стеноз почечных артерий или стеноз артерии единственной почки, дегидратация, резкое падение </w:t>
            </w:r>
            <w:r w:rsidR="001E23F7" w:rsidRPr="0044196C">
              <w:rPr>
                <w:color w:val="000000" w:themeColor="text1"/>
              </w:rPr>
              <w:t>СКФ</w:t>
            </w:r>
            <w:r w:rsidRPr="0044196C">
              <w:rPr>
                <w:color w:val="000000" w:themeColor="text1"/>
              </w:rPr>
              <w:t xml:space="preserve"> (≥50%) в ответ на назначение ингибиторов АПФ или </w:t>
            </w:r>
            <w:r w:rsidR="001E23F7" w:rsidRPr="0044196C">
              <w:rPr>
                <w:color w:val="000000" w:themeColor="text1"/>
              </w:rPr>
              <w:t>БРА</w:t>
            </w:r>
            <w:r w:rsidRPr="0044196C">
              <w:rPr>
                <w:color w:val="000000" w:themeColor="text1"/>
              </w:rPr>
              <w:t xml:space="preserve"> в анамнезе</w:t>
            </w:r>
          </w:p>
          <w:p w:rsidR="0051560D" w:rsidRPr="0044196C" w:rsidRDefault="0051560D" w:rsidP="00787266">
            <w:pPr>
              <w:keepLines/>
              <w:autoSpaceDE w:val="0"/>
              <w:autoSpaceDN w:val="0"/>
              <w:adjustRightInd w:val="0"/>
              <w:spacing w:before="60" w:after="60"/>
              <w:ind w:firstLine="0"/>
              <w:jc w:val="left"/>
              <w:rPr>
                <w:color w:val="000000" w:themeColor="text1"/>
              </w:rPr>
            </w:pPr>
          </w:p>
        </w:tc>
      </w:tr>
      <w:tr w:rsidR="00787266" w:rsidRPr="0044196C" w:rsidTr="00787266">
        <w:tc>
          <w:tcPr>
            <w:tcW w:w="1668" w:type="dxa"/>
            <w:shd w:val="clear" w:color="auto" w:fill="B8CCE4"/>
          </w:tcPr>
          <w:p w:rsidR="0051560D" w:rsidRPr="0044196C" w:rsidRDefault="0051560D" w:rsidP="00787266">
            <w:pPr>
              <w:keepLines/>
              <w:autoSpaceDE w:val="0"/>
              <w:autoSpaceDN w:val="0"/>
              <w:adjustRightInd w:val="0"/>
              <w:spacing w:before="60" w:after="60"/>
              <w:ind w:firstLine="0"/>
              <w:jc w:val="left"/>
              <w:rPr>
                <w:b/>
                <w:bCs/>
                <w:color w:val="000000" w:themeColor="text1"/>
              </w:rPr>
            </w:pPr>
            <w:r w:rsidRPr="0044196C">
              <w:rPr>
                <w:b/>
                <w:bCs/>
                <w:color w:val="000000" w:themeColor="text1"/>
              </w:rPr>
              <w:t>Блокаторы рецепторов ангиотензина II</w:t>
            </w:r>
            <w:r w:rsidR="001E23F7" w:rsidRPr="0044196C">
              <w:rPr>
                <w:b/>
                <w:bCs/>
                <w:color w:val="000000" w:themeColor="text1"/>
              </w:rPr>
              <w:t xml:space="preserve"> 1 типа (БРА)</w:t>
            </w:r>
          </w:p>
        </w:tc>
        <w:tc>
          <w:tcPr>
            <w:tcW w:w="1275" w:type="dxa"/>
            <w:shd w:val="clear" w:color="auto" w:fill="B8CCE4"/>
          </w:tcPr>
          <w:p w:rsidR="0051560D" w:rsidRPr="0044196C" w:rsidRDefault="0051560D" w:rsidP="00787266">
            <w:pPr>
              <w:keepLines/>
              <w:autoSpaceDE w:val="0"/>
              <w:autoSpaceDN w:val="0"/>
              <w:adjustRightInd w:val="0"/>
              <w:spacing w:before="60" w:after="60"/>
              <w:ind w:firstLine="0"/>
              <w:jc w:val="left"/>
              <w:rPr>
                <w:color w:val="000000" w:themeColor="text1"/>
              </w:rPr>
            </w:pPr>
            <w:r w:rsidRPr="0044196C">
              <w:rPr>
                <w:color w:val="000000" w:themeColor="text1"/>
              </w:rPr>
              <w:t>+++</w:t>
            </w:r>
          </w:p>
        </w:tc>
        <w:tc>
          <w:tcPr>
            <w:tcW w:w="1276" w:type="dxa"/>
            <w:shd w:val="clear" w:color="auto" w:fill="B8CCE4"/>
          </w:tcPr>
          <w:p w:rsidR="0051560D" w:rsidRPr="0044196C" w:rsidRDefault="0051560D" w:rsidP="00787266">
            <w:pPr>
              <w:keepLines/>
              <w:autoSpaceDE w:val="0"/>
              <w:autoSpaceDN w:val="0"/>
              <w:adjustRightInd w:val="0"/>
              <w:spacing w:before="60" w:after="60"/>
              <w:ind w:firstLine="0"/>
              <w:jc w:val="left"/>
              <w:rPr>
                <w:color w:val="000000" w:themeColor="text1"/>
              </w:rPr>
            </w:pPr>
            <w:r w:rsidRPr="0044196C">
              <w:rPr>
                <w:color w:val="000000" w:themeColor="text1"/>
              </w:rPr>
              <w:t>+++</w:t>
            </w:r>
          </w:p>
        </w:tc>
        <w:tc>
          <w:tcPr>
            <w:tcW w:w="2977" w:type="dxa"/>
            <w:shd w:val="clear" w:color="auto" w:fill="B8CCE4"/>
          </w:tcPr>
          <w:p w:rsidR="0051560D" w:rsidRPr="0044196C" w:rsidRDefault="00DF40EA" w:rsidP="00787266">
            <w:pPr>
              <w:keepLines/>
              <w:autoSpaceDE w:val="0"/>
              <w:autoSpaceDN w:val="0"/>
              <w:adjustRightInd w:val="0"/>
              <w:spacing w:before="60" w:after="60"/>
              <w:ind w:firstLine="0"/>
              <w:jc w:val="left"/>
              <w:rPr>
                <w:color w:val="000000" w:themeColor="text1"/>
              </w:rPr>
            </w:pPr>
            <w:r w:rsidRPr="0044196C">
              <w:rPr>
                <w:color w:val="000000" w:themeColor="text1"/>
              </w:rPr>
              <w:t>ХБП А2-3, Хроническая сердечная недостаточность, гипертрофия и дисфункция левого желудочка сердца, постинфарктный кардиосклероз, сахарный диабет</w:t>
            </w:r>
          </w:p>
        </w:tc>
        <w:tc>
          <w:tcPr>
            <w:tcW w:w="4786" w:type="dxa"/>
            <w:shd w:val="clear" w:color="auto" w:fill="B8CCE4"/>
          </w:tcPr>
          <w:p w:rsidR="00DF40EA" w:rsidRPr="0044196C" w:rsidRDefault="00DF40EA"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Резкое падение функции почек у больных с дву</w:t>
            </w:r>
            <w:r w:rsidR="001E23F7" w:rsidRPr="0044196C">
              <w:rPr>
                <w:color w:val="000000" w:themeColor="text1"/>
              </w:rPr>
              <w:t>х</w:t>
            </w:r>
            <w:r w:rsidRPr="0044196C">
              <w:rPr>
                <w:color w:val="000000" w:themeColor="text1"/>
              </w:rPr>
              <w:t>сторонним гемодинамически значимым стенозом почечных артерий, гиповолемией, снижением сердечного выброса, выраженной ХПН</w:t>
            </w:r>
          </w:p>
          <w:p w:rsidR="0051560D" w:rsidRPr="0044196C" w:rsidRDefault="00DF40EA"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Г</w:t>
            </w:r>
            <w:r w:rsidR="0051560D" w:rsidRPr="0044196C">
              <w:rPr>
                <w:color w:val="000000" w:themeColor="text1"/>
              </w:rPr>
              <w:t>иперкалиемия</w:t>
            </w:r>
            <w:r w:rsidRPr="0044196C">
              <w:rPr>
                <w:color w:val="000000" w:themeColor="text1"/>
              </w:rPr>
              <w:t xml:space="preserve"> (редко)</w:t>
            </w:r>
          </w:p>
          <w:p w:rsidR="0051560D" w:rsidRPr="0044196C" w:rsidRDefault="0051560D"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Гипотония</w:t>
            </w:r>
          </w:p>
          <w:p w:rsidR="0051560D" w:rsidRPr="0044196C" w:rsidRDefault="0051560D"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Нарушение внутриутробного развития (пороки сердца и др.)</w:t>
            </w:r>
          </w:p>
          <w:p w:rsidR="001E23F7" w:rsidRPr="0044196C" w:rsidRDefault="001E23F7"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Снижение ответа на препараты, стимулирующие эритропоэз</w:t>
            </w:r>
          </w:p>
          <w:p w:rsidR="0051560D" w:rsidRPr="0044196C" w:rsidRDefault="0051560D"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Другие: редко –  непродуктивный сухой кашель, головокружение, судороги, парестезии, миалгии, диспепсия, цит</w:t>
            </w:r>
            <w:r w:rsidR="001E23F7" w:rsidRPr="0044196C">
              <w:rPr>
                <w:color w:val="000000" w:themeColor="text1"/>
              </w:rPr>
              <w:t xml:space="preserve">опения, </w:t>
            </w:r>
            <w:r w:rsidR="001E23F7" w:rsidRPr="0044196C">
              <w:rPr>
                <w:color w:val="000000" w:themeColor="text1"/>
              </w:rPr>
              <w:lastRenderedPageBreak/>
              <w:t xml:space="preserve">ангионевротический отек, </w:t>
            </w:r>
            <w:r w:rsidRPr="0044196C">
              <w:rPr>
                <w:color w:val="000000" w:themeColor="text1"/>
              </w:rPr>
              <w:t xml:space="preserve">аллергические реакции, </w:t>
            </w:r>
          </w:p>
        </w:tc>
        <w:tc>
          <w:tcPr>
            <w:tcW w:w="3940" w:type="dxa"/>
            <w:shd w:val="clear" w:color="auto" w:fill="B8CCE4"/>
          </w:tcPr>
          <w:p w:rsidR="0051560D" w:rsidRPr="0044196C" w:rsidRDefault="001E23F7" w:rsidP="00787266">
            <w:pPr>
              <w:keepLines/>
              <w:autoSpaceDE w:val="0"/>
              <w:autoSpaceDN w:val="0"/>
              <w:adjustRightInd w:val="0"/>
              <w:spacing w:before="60" w:after="60"/>
              <w:ind w:firstLine="0"/>
              <w:jc w:val="left"/>
              <w:rPr>
                <w:color w:val="000000" w:themeColor="text1"/>
              </w:rPr>
            </w:pPr>
            <w:r w:rsidRPr="0044196C">
              <w:rPr>
                <w:color w:val="000000" w:themeColor="text1"/>
              </w:rPr>
              <w:lastRenderedPageBreak/>
              <w:t>Беременность, лактация гиперкалиемия, двухсторонний стеноз почечных артерий или стеноз артерии единственной почки, дегидратация, резкое падение СКФ (≥50%) в ответ на назначение ингибиторов АПФ или БРА в анамнезе</w:t>
            </w:r>
          </w:p>
        </w:tc>
      </w:tr>
      <w:tr w:rsidR="00787266" w:rsidRPr="0044196C" w:rsidTr="00787266">
        <w:tc>
          <w:tcPr>
            <w:tcW w:w="1668" w:type="dxa"/>
            <w:shd w:val="clear" w:color="auto" w:fill="DBE5F1"/>
          </w:tcPr>
          <w:p w:rsidR="006A4269" w:rsidRPr="0044196C" w:rsidRDefault="00D92B1F" w:rsidP="00787266">
            <w:pPr>
              <w:keepLines/>
              <w:autoSpaceDE w:val="0"/>
              <w:autoSpaceDN w:val="0"/>
              <w:adjustRightInd w:val="0"/>
              <w:spacing w:before="60" w:after="60"/>
              <w:ind w:firstLine="0"/>
              <w:jc w:val="left"/>
              <w:rPr>
                <w:b/>
                <w:bCs/>
                <w:color w:val="000000" w:themeColor="text1"/>
              </w:rPr>
            </w:pPr>
            <w:r w:rsidRPr="0044196C">
              <w:rPr>
                <w:b/>
                <w:bCs/>
                <w:color w:val="000000" w:themeColor="text1"/>
              </w:rPr>
              <w:lastRenderedPageBreak/>
              <w:t>Тиазидные</w:t>
            </w:r>
            <w:r w:rsidR="00E44B26" w:rsidRPr="0044196C">
              <w:rPr>
                <w:b/>
                <w:bCs/>
                <w:color w:val="000000" w:themeColor="text1"/>
              </w:rPr>
              <w:t>диуретики</w:t>
            </w:r>
          </w:p>
          <w:p w:rsidR="00D92B1F" w:rsidRPr="0044196C" w:rsidRDefault="00D92B1F" w:rsidP="00787266">
            <w:pPr>
              <w:keepLines/>
              <w:autoSpaceDE w:val="0"/>
              <w:autoSpaceDN w:val="0"/>
              <w:adjustRightInd w:val="0"/>
              <w:spacing w:before="60" w:after="60"/>
              <w:ind w:firstLine="0"/>
              <w:jc w:val="left"/>
              <w:rPr>
                <w:b/>
                <w:bCs/>
                <w:color w:val="000000" w:themeColor="text1"/>
              </w:rPr>
            </w:pPr>
          </w:p>
        </w:tc>
        <w:tc>
          <w:tcPr>
            <w:tcW w:w="1275" w:type="dxa"/>
            <w:shd w:val="clear" w:color="auto" w:fill="DBE5F1"/>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w:t>
            </w:r>
          </w:p>
        </w:tc>
        <w:tc>
          <w:tcPr>
            <w:tcW w:w="1276" w:type="dxa"/>
            <w:shd w:val="clear" w:color="auto" w:fill="DBE5F1"/>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w:t>
            </w:r>
          </w:p>
        </w:tc>
        <w:tc>
          <w:tcPr>
            <w:tcW w:w="2977" w:type="dxa"/>
            <w:shd w:val="clear" w:color="auto" w:fill="DBE5F1"/>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Неосложненная метаболическими нарушениями АГ, хроническая сердечная недостаточность, отеки, изолированная систолическая АГ, АГ у пожилых, высокий риск инфаркта миокарда и нарушения мозгового кровообращения</w:t>
            </w:r>
          </w:p>
        </w:tc>
        <w:tc>
          <w:tcPr>
            <w:tcW w:w="4786" w:type="dxa"/>
            <w:shd w:val="clear" w:color="auto" w:fill="DBE5F1"/>
          </w:tcPr>
          <w:p w:rsidR="00D92B1F" w:rsidRPr="0044196C" w:rsidRDefault="001E23F7"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Водно-элект</w:t>
            </w:r>
            <w:r w:rsidR="00D92B1F" w:rsidRPr="0044196C">
              <w:rPr>
                <w:color w:val="000000" w:themeColor="text1"/>
              </w:rPr>
              <w:t>ролитные: гипокалиемия, гипохлоремический алкалоз, гипонатриемия, гиповолемия, гипомагниемия, судороги, парестезии</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Метаболические: гиперурикемия, обострение подагры, снижение толерантности к углеводам, глюкозурия, гиперлипидемия</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Гемодинамические и коагулологические: ортостатическая гипотония, тромбозы, тромбоэмболии</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 xml:space="preserve">Другие: снижение потенции, гемолиз, цитопения, расстройства зрения, желтуха, запоры, аллергические реакции </w:t>
            </w:r>
          </w:p>
        </w:tc>
        <w:tc>
          <w:tcPr>
            <w:tcW w:w="3940" w:type="dxa"/>
            <w:shd w:val="clear" w:color="auto" w:fill="DBE5F1"/>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 xml:space="preserve">Подагра, гиперурикемия,  беременность и кормление грудью, гипонатриемия, гиповолемия, сахарный диабет тяжелого течения, острая или быстро прогрессирующая почечная недостаточность, </w:t>
            </w:r>
            <w:r w:rsidR="001E23F7" w:rsidRPr="0044196C">
              <w:rPr>
                <w:color w:val="000000" w:themeColor="text1"/>
              </w:rPr>
              <w:t>ХБП С4-5</w:t>
            </w:r>
            <w:r w:rsidRPr="0044196C">
              <w:rPr>
                <w:color w:val="000000" w:themeColor="text1"/>
              </w:rPr>
              <w:t>, гиперкальциемия, гиперчувствительность к сульфаниламидам</w:t>
            </w:r>
          </w:p>
        </w:tc>
      </w:tr>
      <w:tr w:rsidR="00787266" w:rsidRPr="0044196C" w:rsidTr="00787266">
        <w:tc>
          <w:tcPr>
            <w:tcW w:w="1668" w:type="dxa"/>
            <w:shd w:val="clear" w:color="auto" w:fill="B8CCE4"/>
          </w:tcPr>
          <w:p w:rsidR="006A4269" w:rsidRPr="0044196C" w:rsidRDefault="00D92B1F" w:rsidP="00787266">
            <w:pPr>
              <w:keepLines/>
              <w:autoSpaceDE w:val="0"/>
              <w:autoSpaceDN w:val="0"/>
              <w:adjustRightInd w:val="0"/>
              <w:spacing w:before="60" w:after="60"/>
              <w:ind w:firstLine="0"/>
              <w:jc w:val="left"/>
              <w:rPr>
                <w:b/>
                <w:bCs/>
                <w:color w:val="000000" w:themeColor="text1"/>
              </w:rPr>
            </w:pPr>
            <w:r w:rsidRPr="0044196C">
              <w:rPr>
                <w:b/>
                <w:bCs/>
                <w:color w:val="000000" w:themeColor="text1"/>
              </w:rPr>
              <w:t>Петлевые</w:t>
            </w:r>
            <w:r w:rsidR="006A4269" w:rsidRPr="0044196C">
              <w:rPr>
                <w:b/>
                <w:bCs/>
                <w:color w:val="000000" w:themeColor="text1"/>
              </w:rPr>
              <w:t xml:space="preserve"> мочегонные</w:t>
            </w:r>
          </w:p>
        </w:tc>
        <w:tc>
          <w:tcPr>
            <w:tcW w:w="1275" w:type="dxa"/>
            <w:shd w:val="clear" w:color="auto" w:fill="B8CCE4"/>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w:t>
            </w:r>
          </w:p>
        </w:tc>
        <w:tc>
          <w:tcPr>
            <w:tcW w:w="1276" w:type="dxa"/>
            <w:shd w:val="clear" w:color="auto" w:fill="B8CCE4"/>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w:t>
            </w:r>
          </w:p>
        </w:tc>
        <w:tc>
          <w:tcPr>
            <w:tcW w:w="2977" w:type="dxa"/>
            <w:shd w:val="clear" w:color="auto" w:fill="B8CCE4"/>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Хроническая сердечная недостаточность, отеки, нарушение фильтрационной функции почек</w:t>
            </w:r>
          </w:p>
        </w:tc>
        <w:tc>
          <w:tcPr>
            <w:tcW w:w="4786" w:type="dxa"/>
            <w:shd w:val="clear" w:color="auto" w:fill="B8CCE4"/>
          </w:tcPr>
          <w:p w:rsidR="00D92B1F" w:rsidRPr="0044196C" w:rsidRDefault="001E23F7"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Водно-элект</w:t>
            </w:r>
            <w:r w:rsidR="00D92B1F" w:rsidRPr="0044196C">
              <w:rPr>
                <w:color w:val="000000" w:themeColor="text1"/>
              </w:rPr>
              <w:t>ролитные: гипокалиемия, гипохлоремический алкалоз, гипонатриемия, гипомагниемия, гиперкальциурия, судороги, мышечная слабость, парестезии</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Метаболические: гиперурикемия, обострение подагры, снижение толерантности к углеводам, глюкозурия, гиперлипидемия</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Гемодинамические и коагулологические:  ортостатическая гипотония, тромбозы, тромбоэмболии</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Другие: снижение потенции, желтуха, диарея, запор, тошнота, анорексия, поражение внутреннего уха, цитопения, интерстициальный нефрит, аллергические реакции</w:t>
            </w:r>
          </w:p>
        </w:tc>
        <w:tc>
          <w:tcPr>
            <w:tcW w:w="3940" w:type="dxa"/>
            <w:shd w:val="clear" w:color="auto" w:fill="B8CCE4"/>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Подагра, гиперурикемия, беременность и кормление грудью, гипонатриемия, гиповолемия, сахарный диабет тяжелого течения, гиперчувствительность к сульфаниламидам</w:t>
            </w:r>
          </w:p>
        </w:tc>
      </w:tr>
      <w:tr w:rsidR="00787266" w:rsidRPr="0044196C" w:rsidTr="00787266">
        <w:tc>
          <w:tcPr>
            <w:tcW w:w="1668" w:type="dxa"/>
            <w:shd w:val="clear" w:color="auto" w:fill="DBE5F1"/>
          </w:tcPr>
          <w:p w:rsidR="00D92B1F" w:rsidRPr="0044196C" w:rsidRDefault="00D92B1F" w:rsidP="00787266">
            <w:pPr>
              <w:keepLines/>
              <w:autoSpaceDE w:val="0"/>
              <w:autoSpaceDN w:val="0"/>
              <w:adjustRightInd w:val="0"/>
              <w:spacing w:before="60" w:after="60"/>
              <w:ind w:firstLine="0"/>
              <w:jc w:val="left"/>
              <w:rPr>
                <w:b/>
                <w:bCs/>
                <w:color w:val="000000" w:themeColor="text1"/>
              </w:rPr>
            </w:pPr>
            <w:r w:rsidRPr="0044196C">
              <w:rPr>
                <w:b/>
                <w:bCs/>
                <w:color w:val="000000" w:themeColor="text1"/>
              </w:rPr>
              <w:t>Блокаторы альдостеро</w:t>
            </w:r>
            <w:r w:rsidR="003309DC" w:rsidRPr="0044196C">
              <w:rPr>
                <w:b/>
                <w:bCs/>
                <w:color w:val="000000" w:themeColor="text1"/>
              </w:rPr>
              <w:t>-</w:t>
            </w:r>
            <w:r w:rsidRPr="0044196C">
              <w:rPr>
                <w:b/>
                <w:bCs/>
                <w:color w:val="000000" w:themeColor="text1"/>
              </w:rPr>
              <w:t xml:space="preserve">новых рецепторов </w:t>
            </w:r>
          </w:p>
        </w:tc>
        <w:tc>
          <w:tcPr>
            <w:tcW w:w="1275" w:type="dxa"/>
            <w:shd w:val="clear" w:color="auto" w:fill="DBE5F1"/>
          </w:tcPr>
          <w:p w:rsidR="00D92B1F" w:rsidRPr="0044196C" w:rsidRDefault="00D92B1F" w:rsidP="00787266">
            <w:pPr>
              <w:keepLines/>
              <w:autoSpaceDE w:val="0"/>
              <w:autoSpaceDN w:val="0"/>
              <w:adjustRightInd w:val="0"/>
              <w:spacing w:before="60" w:after="60"/>
              <w:ind w:firstLine="0"/>
              <w:jc w:val="center"/>
              <w:rPr>
                <w:color w:val="000000" w:themeColor="text1"/>
              </w:rPr>
            </w:pPr>
            <w:r w:rsidRPr="0044196C">
              <w:rPr>
                <w:color w:val="000000" w:themeColor="text1"/>
              </w:rPr>
              <w:t>++</w:t>
            </w:r>
          </w:p>
        </w:tc>
        <w:tc>
          <w:tcPr>
            <w:tcW w:w="1276" w:type="dxa"/>
            <w:shd w:val="clear" w:color="auto" w:fill="DBE5F1"/>
          </w:tcPr>
          <w:p w:rsidR="00D92B1F" w:rsidRPr="0044196C" w:rsidRDefault="00D92B1F" w:rsidP="00787266">
            <w:pPr>
              <w:keepLines/>
              <w:autoSpaceDE w:val="0"/>
              <w:autoSpaceDN w:val="0"/>
              <w:adjustRightInd w:val="0"/>
              <w:spacing w:before="60" w:after="60"/>
              <w:ind w:firstLine="0"/>
              <w:jc w:val="center"/>
              <w:rPr>
                <w:color w:val="000000" w:themeColor="text1"/>
              </w:rPr>
            </w:pPr>
            <w:r w:rsidRPr="0044196C">
              <w:rPr>
                <w:color w:val="000000" w:themeColor="text1"/>
              </w:rPr>
              <w:t>+</w:t>
            </w:r>
          </w:p>
        </w:tc>
        <w:tc>
          <w:tcPr>
            <w:tcW w:w="2977" w:type="dxa"/>
            <w:shd w:val="clear" w:color="auto" w:fill="DBE5F1"/>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Хроническая сердечная недостаточность, постинфарктный кардиосклероз, резистентные отеки</w:t>
            </w:r>
          </w:p>
        </w:tc>
        <w:tc>
          <w:tcPr>
            <w:tcW w:w="4786" w:type="dxa"/>
            <w:shd w:val="clear" w:color="auto" w:fill="DBE5F1"/>
          </w:tcPr>
          <w:p w:rsidR="00D92B1F" w:rsidRPr="0044196C" w:rsidRDefault="001E23F7"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Водно-элект</w:t>
            </w:r>
            <w:r w:rsidR="00D92B1F" w:rsidRPr="0044196C">
              <w:rPr>
                <w:color w:val="000000" w:themeColor="text1"/>
              </w:rPr>
              <w:t>ролитные: гиперкалиемия</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 xml:space="preserve">Гормональные: гинекомастия, боль в молочных железах, снижение потенции у мужчин, нарушение менструального цикла или аменорея, метроррагия в </w:t>
            </w:r>
            <w:r w:rsidRPr="0044196C">
              <w:rPr>
                <w:color w:val="000000" w:themeColor="text1"/>
              </w:rPr>
              <w:lastRenderedPageBreak/>
              <w:t xml:space="preserve">климактерическом периоде, гирсутизм, изменение голоса у женщин, алопеция, гипертрихоз </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Онкологические: сообщалось о случаях рака молочной железы у мужчин и женщин при длительном применении</w:t>
            </w:r>
            <w:r w:rsidR="006A4269" w:rsidRPr="0044196C">
              <w:rPr>
                <w:color w:val="000000" w:themeColor="text1"/>
              </w:rPr>
              <w:t>альдактона</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 xml:space="preserve">Другие: зуд, крапивница, цитопения. </w:t>
            </w:r>
          </w:p>
        </w:tc>
        <w:tc>
          <w:tcPr>
            <w:tcW w:w="3940" w:type="dxa"/>
            <w:shd w:val="clear" w:color="auto" w:fill="DBE5F1"/>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lastRenderedPageBreak/>
              <w:t xml:space="preserve">Гиперкалиемия, гипонатриемия,  гиперкальциемия, острая или быстро прогрессирующая почечная недостаточность, </w:t>
            </w:r>
            <w:r w:rsidR="001E23F7" w:rsidRPr="0044196C">
              <w:rPr>
                <w:color w:val="000000" w:themeColor="text1"/>
              </w:rPr>
              <w:t>ХБП С4-5</w:t>
            </w:r>
            <w:r w:rsidRPr="0044196C">
              <w:rPr>
                <w:color w:val="000000" w:themeColor="text1"/>
              </w:rPr>
              <w:t xml:space="preserve">, беременность, болезнь Аддисона, </w:t>
            </w:r>
            <w:r w:rsidRPr="0044196C">
              <w:rPr>
                <w:color w:val="000000" w:themeColor="text1"/>
              </w:rPr>
              <w:lastRenderedPageBreak/>
              <w:t>нарушение менструальной функции, метаболический ацидоз</w:t>
            </w:r>
          </w:p>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 xml:space="preserve">Не рекомендуется длительное лечение альдактоном, особенно мужчин, из-за риска рака молочной железы. </w:t>
            </w:r>
          </w:p>
        </w:tc>
      </w:tr>
      <w:tr w:rsidR="00787266" w:rsidRPr="0044196C" w:rsidTr="00787266">
        <w:tc>
          <w:tcPr>
            <w:tcW w:w="1668" w:type="dxa"/>
            <w:shd w:val="clear" w:color="auto" w:fill="B8CCE4"/>
          </w:tcPr>
          <w:p w:rsidR="00D92B1F" w:rsidRPr="0044196C" w:rsidRDefault="001E23F7" w:rsidP="00787266">
            <w:pPr>
              <w:keepLines/>
              <w:autoSpaceDE w:val="0"/>
              <w:autoSpaceDN w:val="0"/>
              <w:adjustRightInd w:val="0"/>
              <w:spacing w:before="60" w:after="60"/>
              <w:ind w:firstLine="0"/>
              <w:jc w:val="left"/>
              <w:rPr>
                <w:b/>
                <w:bCs/>
                <w:color w:val="000000" w:themeColor="text1"/>
              </w:rPr>
            </w:pPr>
            <w:r w:rsidRPr="0044196C">
              <w:rPr>
                <w:b/>
                <w:bCs/>
                <w:color w:val="000000" w:themeColor="text1"/>
              </w:rPr>
              <w:lastRenderedPageBreak/>
              <w:t>Дигидро</w:t>
            </w:r>
            <w:r w:rsidR="00D92B1F" w:rsidRPr="0044196C">
              <w:rPr>
                <w:b/>
                <w:bCs/>
                <w:color w:val="000000" w:themeColor="text1"/>
              </w:rPr>
              <w:t>пи</w:t>
            </w:r>
            <w:r w:rsidR="006B6429" w:rsidRPr="0044196C">
              <w:rPr>
                <w:b/>
                <w:bCs/>
                <w:color w:val="000000" w:themeColor="text1"/>
              </w:rPr>
              <w:t>-</w:t>
            </w:r>
            <w:r w:rsidR="00D92B1F" w:rsidRPr="0044196C">
              <w:rPr>
                <w:b/>
                <w:bCs/>
                <w:color w:val="000000" w:themeColor="text1"/>
              </w:rPr>
              <w:t>ридиновые</w:t>
            </w:r>
            <w:r w:rsidR="0051560D" w:rsidRPr="0044196C">
              <w:rPr>
                <w:b/>
                <w:bCs/>
                <w:color w:val="000000" w:themeColor="text1"/>
              </w:rPr>
              <w:t xml:space="preserve"> антагонисты кальция</w:t>
            </w:r>
            <w:r w:rsidR="00E44B26" w:rsidRPr="0044196C">
              <w:rPr>
                <w:b/>
                <w:bCs/>
                <w:color w:val="000000" w:themeColor="text1"/>
              </w:rPr>
              <w:t xml:space="preserve"> (АКд)</w:t>
            </w:r>
          </w:p>
        </w:tc>
        <w:tc>
          <w:tcPr>
            <w:tcW w:w="1275" w:type="dxa"/>
            <w:shd w:val="clear" w:color="auto" w:fill="B8CCE4"/>
          </w:tcPr>
          <w:p w:rsidR="00D92B1F" w:rsidRPr="0044196C" w:rsidRDefault="00D92B1F" w:rsidP="00787266">
            <w:pPr>
              <w:keepLines/>
              <w:autoSpaceDE w:val="0"/>
              <w:autoSpaceDN w:val="0"/>
              <w:adjustRightInd w:val="0"/>
              <w:spacing w:before="60" w:after="60"/>
              <w:ind w:firstLine="0"/>
              <w:jc w:val="center"/>
              <w:rPr>
                <w:color w:val="000000" w:themeColor="text1"/>
              </w:rPr>
            </w:pPr>
            <w:r w:rsidRPr="0044196C">
              <w:rPr>
                <w:color w:val="000000" w:themeColor="text1"/>
              </w:rPr>
              <w:t>+++</w:t>
            </w:r>
          </w:p>
        </w:tc>
        <w:tc>
          <w:tcPr>
            <w:tcW w:w="1276" w:type="dxa"/>
            <w:shd w:val="clear" w:color="auto" w:fill="B8CCE4"/>
          </w:tcPr>
          <w:p w:rsidR="00D92B1F" w:rsidRPr="0044196C" w:rsidRDefault="00D92B1F" w:rsidP="00787266">
            <w:pPr>
              <w:keepLines/>
              <w:autoSpaceDE w:val="0"/>
              <w:autoSpaceDN w:val="0"/>
              <w:adjustRightInd w:val="0"/>
              <w:spacing w:before="60" w:after="60"/>
              <w:ind w:firstLine="0"/>
              <w:jc w:val="center"/>
              <w:rPr>
                <w:color w:val="000000" w:themeColor="text1"/>
              </w:rPr>
            </w:pPr>
            <w:r w:rsidRPr="0044196C">
              <w:rPr>
                <w:color w:val="000000" w:themeColor="text1"/>
              </w:rPr>
              <w:t>–</w:t>
            </w:r>
          </w:p>
        </w:tc>
        <w:tc>
          <w:tcPr>
            <w:tcW w:w="2977" w:type="dxa"/>
            <w:shd w:val="clear" w:color="auto" w:fill="B8CCE4"/>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Изолированная систолическая АГ, АГ у пожилых, стенокардия, атеросклероз периферических и сонных артерий, синдром Рейно, АГ у беременных</w:t>
            </w:r>
          </w:p>
        </w:tc>
        <w:tc>
          <w:tcPr>
            <w:tcW w:w="4786" w:type="dxa"/>
            <w:shd w:val="clear" w:color="auto" w:fill="B8CCE4"/>
          </w:tcPr>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Сердечно-сосудистые: тахикардия, сердцебиения, гиперемия кожи лица, гипотония</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Другие: отеки лодыжек и стоп, головокружение, аллергические реакции, редко – гиперплазия десен</w:t>
            </w:r>
          </w:p>
          <w:p w:rsidR="001E23F7" w:rsidRPr="0044196C" w:rsidRDefault="001E23F7"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Возможно усиление протеинурии и усиление клубочковой гипертензии; данные эффекты нивелируются при совместном назначении с ингибитором АПФ или БРА</w:t>
            </w:r>
          </w:p>
        </w:tc>
        <w:tc>
          <w:tcPr>
            <w:tcW w:w="3940" w:type="dxa"/>
            <w:shd w:val="clear" w:color="auto" w:fill="B8CCE4"/>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Тахиаритмии, нестабильная стенокардия, выраженный аортальный стеноз, выраженная хроническая сердечная недостаточность</w:t>
            </w:r>
          </w:p>
        </w:tc>
      </w:tr>
      <w:tr w:rsidR="00787266" w:rsidRPr="0044196C" w:rsidTr="00787266">
        <w:tc>
          <w:tcPr>
            <w:tcW w:w="1668" w:type="dxa"/>
            <w:shd w:val="clear" w:color="auto" w:fill="DBE5F1"/>
          </w:tcPr>
          <w:p w:rsidR="00D92B1F" w:rsidRPr="0044196C" w:rsidRDefault="00D92B1F" w:rsidP="00787266">
            <w:pPr>
              <w:keepLines/>
              <w:autoSpaceDE w:val="0"/>
              <w:autoSpaceDN w:val="0"/>
              <w:adjustRightInd w:val="0"/>
              <w:spacing w:before="60" w:after="60"/>
              <w:ind w:firstLine="0"/>
              <w:jc w:val="left"/>
              <w:rPr>
                <w:b/>
                <w:bCs/>
                <w:color w:val="000000" w:themeColor="text1"/>
              </w:rPr>
            </w:pPr>
            <w:r w:rsidRPr="0044196C">
              <w:rPr>
                <w:b/>
                <w:bCs/>
                <w:color w:val="000000" w:themeColor="text1"/>
              </w:rPr>
              <w:t>Недигидро</w:t>
            </w:r>
            <w:r w:rsidRPr="0044196C">
              <w:rPr>
                <w:b/>
                <w:bCs/>
                <w:color w:val="000000" w:themeColor="text1"/>
              </w:rPr>
              <w:softHyphen/>
              <w:t>пиридиновые</w:t>
            </w:r>
            <w:r w:rsidR="0051560D" w:rsidRPr="0044196C">
              <w:rPr>
                <w:b/>
                <w:bCs/>
                <w:color w:val="000000" w:themeColor="text1"/>
              </w:rPr>
              <w:t xml:space="preserve"> антагонисты кальция</w:t>
            </w:r>
            <w:r w:rsidR="00E44B26" w:rsidRPr="0044196C">
              <w:rPr>
                <w:b/>
                <w:bCs/>
                <w:color w:val="000000" w:themeColor="text1"/>
              </w:rPr>
              <w:t xml:space="preserve"> (АКнд)</w:t>
            </w:r>
          </w:p>
        </w:tc>
        <w:tc>
          <w:tcPr>
            <w:tcW w:w="1275" w:type="dxa"/>
            <w:shd w:val="clear" w:color="auto" w:fill="DBE5F1"/>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w:t>
            </w:r>
          </w:p>
        </w:tc>
        <w:tc>
          <w:tcPr>
            <w:tcW w:w="1276" w:type="dxa"/>
            <w:shd w:val="clear" w:color="auto" w:fill="DBE5F1"/>
          </w:tcPr>
          <w:p w:rsidR="00D92B1F" w:rsidRPr="0044196C" w:rsidRDefault="001E23F7" w:rsidP="00787266">
            <w:pPr>
              <w:keepLines/>
              <w:autoSpaceDE w:val="0"/>
              <w:autoSpaceDN w:val="0"/>
              <w:adjustRightInd w:val="0"/>
              <w:spacing w:before="60" w:after="60"/>
              <w:ind w:firstLine="0"/>
              <w:jc w:val="left"/>
              <w:rPr>
                <w:color w:val="000000" w:themeColor="text1"/>
              </w:rPr>
            </w:pPr>
            <w:r w:rsidRPr="0044196C">
              <w:rPr>
                <w:color w:val="000000" w:themeColor="text1"/>
              </w:rPr>
              <w:t>+</w:t>
            </w:r>
          </w:p>
        </w:tc>
        <w:tc>
          <w:tcPr>
            <w:tcW w:w="2977" w:type="dxa"/>
            <w:shd w:val="clear" w:color="auto" w:fill="DBE5F1"/>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Стенокардия, атеросклеро</w:t>
            </w:r>
            <w:r w:rsidR="001E23F7" w:rsidRPr="0044196C">
              <w:rPr>
                <w:color w:val="000000" w:themeColor="text1"/>
              </w:rPr>
              <w:t>з сонных артерий, суправентрику</w:t>
            </w:r>
            <w:r w:rsidRPr="0044196C">
              <w:rPr>
                <w:color w:val="000000" w:themeColor="text1"/>
              </w:rPr>
              <w:t>лярная тахикардия, нефропатии с выраженной протеинурией</w:t>
            </w:r>
          </w:p>
        </w:tc>
        <w:tc>
          <w:tcPr>
            <w:tcW w:w="4786" w:type="dxa"/>
            <w:shd w:val="clear" w:color="auto" w:fill="DBE5F1"/>
          </w:tcPr>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Сердечно-сосудистые: синусовая брадикардия, атриовентрикулярная блокада, гипотония, снижение сократимости миокарда, гиперемия кожи лица</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Общемозговые: головная боль, головокружение, нервозность, заторможенность, сонливость, слабость, утомляемость.</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Желудочно-кишечные: тошнота, запоры; редко – гиперплазия десен.</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Другие: мышечная слабость, парестезии, отеки конечностей, аллергические реакции</w:t>
            </w:r>
          </w:p>
        </w:tc>
        <w:tc>
          <w:tcPr>
            <w:tcW w:w="3940" w:type="dxa"/>
            <w:shd w:val="clear" w:color="auto" w:fill="DBE5F1"/>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Атриовентрикулярная блокада II-III ст., синдром слабости синусового узла, выраженная синусовая брадикардия, выраженная хроническая сердечная недостаточность, тяжелый стеноз устья аорты, беременность, лактация</w:t>
            </w:r>
          </w:p>
        </w:tc>
      </w:tr>
      <w:tr w:rsidR="00787266" w:rsidRPr="0044196C" w:rsidTr="00787266">
        <w:tc>
          <w:tcPr>
            <w:tcW w:w="1668" w:type="dxa"/>
            <w:shd w:val="clear" w:color="auto" w:fill="B8CCE4"/>
          </w:tcPr>
          <w:p w:rsidR="0051560D" w:rsidRPr="0044196C" w:rsidRDefault="0051560D" w:rsidP="00787266">
            <w:pPr>
              <w:keepNext/>
              <w:keepLines/>
              <w:autoSpaceDE w:val="0"/>
              <w:autoSpaceDN w:val="0"/>
              <w:adjustRightInd w:val="0"/>
              <w:spacing w:before="60" w:after="60"/>
              <w:ind w:firstLine="0"/>
              <w:jc w:val="left"/>
              <w:rPr>
                <w:b/>
                <w:bCs/>
                <w:color w:val="000000" w:themeColor="text1"/>
              </w:rPr>
            </w:pPr>
            <w:r w:rsidRPr="0044196C">
              <w:rPr>
                <w:b/>
                <w:bCs/>
                <w:color w:val="000000" w:themeColor="text1"/>
              </w:rPr>
              <w:lastRenderedPageBreak/>
              <w:t>Бета-адреноблока</w:t>
            </w:r>
            <w:r w:rsidR="009F33B1" w:rsidRPr="0044196C">
              <w:rPr>
                <w:b/>
                <w:bCs/>
                <w:color w:val="000000" w:themeColor="text1"/>
              </w:rPr>
              <w:t>-</w:t>
            </w:r>
            <w:r w:rsidRPr="0044196C">
              <w:rPr>
                <w:b/>
                <w:bCs/>
                <w:color w:val="000000" w:themeColor="text1"/>
              </w:rPr>
              <w:t>торы</w:t>
            </w:r>
            <w:r w:rsidR="00E44B26" w:rsidRPr="0044196C">
              <w:rPr>
                <w:b/>
                <w:bCs/>
                <w:color w:val="000000" w:themeColor="text1"/>
              </w:rPr>
              <w:t xml:space="preserve"> (β-АБ)</w:t>
            </w:r>
          </w:p>
        </w:tc>
        <w:tc>
          <w:tcPr>
            <w:tcW w:w="1275" w:type="dxa"/>
            <w:shd w:val="clear" w:color="auto" w:fill="B8CCE4"/>
          </w:tcPr>
          <w:p w:rsidR="0051560D" w:rsidRPr="0044196C" w:rsidRDefault="0051560D" w:rsidP="00787266">
            <w:pPr>
              <w:keepNext/>
              <w:keepLines/>
              <w:autoSpaceDE w:val="0"/>
              <w:autoSpaceDN w:val="0"/>
              <w:adjustRightInd w:val="0"/>
              <w:spacing w:before="60" w:after="60"/>
              <w:ind w:firstLine="0"/>
              <w:jc w:val="left"/>
              <w:rPr>
                <w:color w:val="000000" w:themeColor="text1"/>
              </w:rPr>
            </w:pPr>
            <w:r w:rsidRPr="0044196C">
              <w:rPr>
                <w:color w:val="000000" w:themeColor="text1"/>
              </w:rPr>
              <w:t>+++</w:t>
            </w:r>
          </w:p>
        </w:tc>
        <w:tc>
          <w:tcPr>
            <w:tcW w:w="1276" w:type="dxa"/>
            <w:shd w:val="clear" w:color="auto" w:fill="B8CCE4"/>
          </w:tcPr>
          <w:p w:rsidR="0051560D" w:rsidRPr="0044196C" w:rsidRDefault="0051560D" w:rsidP="00787266">
            <w:pPr>
              <w:keepNext/>
              <w:keepLines/>
              <w:autoSpaceDE w:val="0"/>
              <w:autoSpaceDN w:val="0"/>
              <w:adjustRightInd w:val="0"/>
              <w:spacing w:before="60" w:after="60"/>
              <w:ind w:firstLine="0"/>
              <w:jc w:val="left"/>
              <w:rPr>
                <w:color w:val="000000" w:themeColor="text1"/>
              </w:rPr>
            </w:pPr>
            <w:r w:rsidRPr="0044196C">
              <w:rPr>
                <w:color w:val="000000" w:themeColor="text1"/>
              </w:rPr>
              <w:t>–</w:t>
            </w:r>
          </w:p>
        </w:tc>
        <w:tc>
          <w:tcPr>
            <w:tcW w:w="2977" w:type="dxa"/>
            <w:shd w:val="clear" w:color="auto" w:fill="B8CCE4"/>
          </w:tcPr>
          <w:p w:rsidR="0051560D" w:rsidRPr="0044196C" w:rsidRDefault="0051560D" w:rsidP="00787266">
            <w:pPr>
              <w:keepNext/>
              <w:keepLines/>
              <w:autoSpaceDE w:val="0"/>
              <w:autoSpaceDN w:val="0"/>
              <w:adjustRightInd w:val="0"/>
              <w:spacing w:before="60" w:after="60"/>
              <w:ind w:firstLine="0"/>
              <w:jc w:val="left"/>
              <w:rPr>
                <w:color w:val="000000" w:themeColor="text1"/>
              </w:rPr>
            </w:pPr>
            <w:r w:rsidRPr="0044196C">
              <w:rPr>
                <w:color w:val="000000" w:themeColor="text1"/>
              </w:rPr>
              <w:t>Стенокардия, постинфарктный кардиосклероз, хроническая сердечная недостаточность (с осторожностью, начиная с малых доз), тахиаритмии, АГ у беременных</w:t>
            </w:r>
          </w:p>
          <w:p w:rsidR="0051560D" w:rsidRPr="0044196C" w:rsidRDefault="0051560D" w:rsidP="00787266">
            <w:pPr>
              <w:keepNext/>
              <w:keepLines/>
              <w:autoSpaceDE w:val="0"/>
              <w:autoSpaceDN w:val="0"/>
              <w:adjustRightInd w:val="0"/>
              <w:spacing w:before="60" w:after="60"/>
              <w:ind w:firstLine="0"/>
              <w:jc w:val="left"/>
              <w:rPr>
                <w:color w:val="000000" w:themeColor="text1"/>
              </w:rPr>
            </w:pPr>
          </w:p>
        </w:tc>
        <w:tc>
          <w:tcPr>
            <w:tcW w:w="4786" w:type="dxa"/>
            <w:shd w:val="clear" w:color="auto" w:fill="B8CCE4"/>
          </w:tcPr>
          <w:p w:rsidR="0051560D" w:rsidRPr="0044196C" w:rsidRDefault="0051560D" w:rsidP="00787266">
            <w:pPr>
              <w:keepNext/>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Сердечно-сосудистые: брадикардия, гипотония, ухудшение кровоснабжения конечностей у больных атеросклерозом, нарушение проводимости миокарда, атриовентрикулярная блокада, снижение сократимости миокарда</w:t>
            </w:r>
          </w:p>
          <w:p w:rsidR="0051560D" w:rsidRPr="0044196C" w:rsidRDefault="0051560D" w:rsidP="00787266">
            <w:pPr>
              <w:keepNext/>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Респираторные: бронхоспазм, бронхообструкция, вазомоторный ринит</w:t>
            </w:r>
          </w:p>
          <w:p w:rsidR="0051560D" w:rsidRPr="0044196C" w:rsidRDefault="0051560D" w:rsidP="00787266">
            <w:pPr>
              <w:keepNext/>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Метаболические: снижение толерантности к углеводам, гиперлипидемия</w:t>
            </w:r>
          </w:p>
          <w:p w:rsidR="0051560D" w:rsidRPr="0044196C" w:rsidRDefault="0051560D" w:rsidP="00787266">
            <w:pPr>
              <w:keepNext/>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Общемозговые: слабость, головокружение, вялость, повышенная утомляемость, снижение концентрации внимания, депрессия, нарушения сна</w:t>
            </w:r>
          </w:p>
          <w:p w:rsidR="0051560D" w:rsidRPr="0044196C" w:rsidRDefault="0051560D" w:rsidP="00787266">
            <w:pPr>
              <w:keepNext/>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Синдром отмены</w:t>
            </w:r>
          </w:p>
          <w:p w:rsidR="0051560D" w:rsidRPr="0044196C" w:rsidRDefault="0051560D" w:rsidP="00787266">
            <w:pPr>
              <w:keepNext/>
              <w:keepLines/>
              <w:numPr>
                <w:ilvl w:val="0"/>
                <w:numId w:val="11"/>
              </w:numPr>
              <w:tabs>
                <w:tab w:val="clear" w:pos="1429"/>
                <w:tab w:val="num" w:pos="372"/>
              </w:tabs>
              <w:autoSpaceDE w:val="0"/>
              <w:autoSpaceDN w:val="0"/>
              <w:adjustRightInd w:val="0"/>
              <w:spacing w:before="60" w:after="60"/>
              <w:ind w:left="0" w:firstLine="0"/>
              <w:jc w:val="left"/>
              <w:rPr>
                <w:color w:val="000000" w:themeColor="text1"/>
              </w:rPr>
            </w:pPr>
            <w:r w:rsidRPr="0044196C">
              <w:rPr>
                <w:color w:val="000000" w:themeColor="text1"/>
              </w:rPr>
              <w:t>Другие: ослабление потенции, мышечные судороги, миалгии, мышечная слабость, парестезии, нарушение зрения, ксерофтальмия и ксеростомия, цитопения, аллергические реакции</w:t>
            </w:r>
          </w:p>
        </w:tc>
        <w:tc>
          <w:tcPr>
            <w:tcW w:w="3940" w:type="dxa"/>
            <w:shd w:val="clear" w:color="auto" w:fill="B8CCE4"/>
          </w:tcPr>
          <w:p w:rsidR="0051560D" w:rsidRPr="0044196C" w:rsidRDefault="0051560D" w:rsidP="00787266">
            <w:pPr>
              <w:keepNext/>
              <w:keepLines/>
              <w:autoSpaceDE w:val="0"/>
              <w:autoSpaceDN w:val="0"/>
              <w:adjustRightInd w:val="0"/>
              <w:spacing w:before="60" w:after="60"/>
              <w:ind w:firstLine="0"/>
              <w:jc w:val="left"/>
              <w:rPr>
                <w:color w:val="000000" w:themeColor="text1"/>
              </w:rPr>
            </w:pPr>
            <w:r w:rsidRPr="0044196C">
              <w:rPr>
                <w:color w:val="000000" w:themeColor="text1"/>
              </w:rPr>
              <w:t>Атриовентрикулярная блокада II-III ст., синдром слабости синусового узла, выраженная синусовая брадикардия, выраженная хроническая сердечная недостаточность, бронхиальная астма, др. хронические обструктивные заболевания легких,  атеросклероз периферических артерий (можно с осторожностью кардиоселективные бета-адреноблокаторы); нежелательно назначение спортсменам и физически активным лицам</w:t>
            </w:r>
          </w:p>
        </w:tc>
      </w:tr>
      <w:tr w:rsidR="00787266" w:rsidRPr="0044196C" w:rsidTr="00787266">
        <w:tc>
          <w:tcPr>
            <w:tcW w:w="1668" w:type="dxa"/>
            <w:shd w:val="clear" w:color="auto" w:fill="DBE5F1"/>
          </w:tcPr>
          <w:p w:rsidR="00D92B1F" w:rsidRPr="0044196C" w:rsidRDefault="00D92B1F" w:rsidP="00787266">
            <w:pPr>
              <w:keepLines/>
              <w:autoSpaceDE w:val="0"/>
              <w:autoSpaceDN w:val="0"/>
              <w:adjustRightInd w:val="0"/>
              <w:spacing w:before="60" w:after="60"/>
              <w:ind w:firstLine="0"/>
              <w:jc w:val="left"/>
              <w:rPr>
                <w:b/>
                <w:bCs/>
                <w:color w:val="000000" w:themeColor="text1"/>
              </w:rPr>
            </w:pPr>
            <w:r w:rsidRPr="0044196C">
              <w:rPr>
                <w:b/>
                <w:bCs/>
                <w:color w:val="000000" w:themeColor="text1"/>
              </w:rPr>
              <w:t>Альфа-адреноблока</w:t>
            </w:r>
            <w:r w:rsidR="006C2230" w:rsidRPr="0044196C">
              <w:rPr>
                <w:b/>
                <w:bCs/>
                <w:color w:val="000000" w:themeColor="text1"/>
              </w:rPr>
              <w:t>-</w:t>
            </w:r>
            <w:r w:rsidRPr="0044196C">
              <w:rPr>
                <w:b/>
                <w:bCs/>
                <w:color w:val="000000" w:themeColor="text1"/>
              </w:rPr>
              <w:t>торы</w:t>
            </w:r>
            <w:r w:rsidR="00E44B26" w:rsidRPr="0044196C">
              <w:rPr>
                <w:b/>
                <w:bCs/>
                <w:color w:val="000000" w:themeColor="text1"/>
              </w:rPr>
              <w:t xml:space="preserve"> (α-АБ),</w:t>
            </w:r>
          </w:p>
          <w:p w:rsidR="00E44B26" w:rsidRPr="0044196C" w:rsidRDefault="00E44B26" w:rsidP="00787266">
            <w:pPr>
              <w:keepLines/>
              <w:autoSpaceDE w:val="0"/>
              <w:autoSpaceDN w:val="0"/>
              <w:adjustRightInd w:val="0"/>
              <w:spacing w:before="60" w:after="60"/>
              <w:ind w:firstLine="0"/>
              <w:jc w:val="left"/>
              <w:rPr>
                <w:b/>
                <w:bCs/>
                <w:color w:val="000000" w:themeColor="text1"/>
              </w:rPr>
            </w:pPr>
            <w:r w:rsidRPr="0044196C">
              <w:rPr>
                <w:b/>
                <w:bCs/>
                <w:color w:val="000000" w:themeColor="text1"/>
              </w:rPr>
              <w:t>Альфа</w:t>
            </w:r>
            <w:r w:rsidR="006C2230" w:rsidRPr="0044196C">
              <w:rPr>
                <w:b/>
                <w:bCs/>
                <w:color w:val="000000" w:themeColor="text1"/>
              </w:rPr>
              <w:t>, бета-</w:t>
            </w:r>
            <w:r w:rsidRPr="0044196C">
              <w:rPr>
                <w:b/>
                <w:bCs/>
                <w:color w:val="000000" w:themeColor="text1"/>
              </w:rPr>
              <w:t>адреноблока</w:t>
            </w:r>
            <w:r w:rsidR="006C2230" w:rsidRPr="0044196C">
              <w:rPr>
                <w:b/>
                <w:bCs/>
                <w:color w:val="000000" w:themeColor="text1"/>
              </w:rPr>
              <w:t>-</w:t>
            </w:r>
            <w:r w:rsidRPr="0044196C">
              <w:rPr>
                <w:b/>
                <w:bCs/>
                <w:color w:val="000000" w:themeColor="text1"/>
              </w:rPr>
              <w:t>торы (</w:t>
            </w:r>
            <w:r w:rsidRPr="0044196C">
              <w:rPr>
                <w:b/>
                <w:color w:val="000000" w:themeColor="text1"/>
                <w:lang w:val="en-US"/>
              </w:rPr>
              <w:t>α</w:t>
            </w:r>
            <w:r w:rsidRPr="0044196C">
              <w:rPr>
                <w:b/>
                <w:color w:val="000000" w:themeColor="text1"/>
              </w:rPr>
              <w:t>,</w:t>
            </w:r>
            <w:r w:rsidRPr="0044196C">
              <w:rPr>
                <w:b/>
                <w:color w:val="000000" w:themeColor="text1"/>
                <w:lang w:val="en-US"/>
              </w:rPr>
              <w:t>β</w:t>
            </w:r>
            <w:r w:rsidRPr="0044196C">
              <w:rPr>
                <w:b/>
                <w:color w:val="000000" w:themeColor="text1"/>
              </w:rPr>
              <w:t>-АБ</w:t>
            </w:r>
            <w:r w:rsidRPr="0044196C">
              <w:rPr>
                <w:b/>
                <w:bCs/>
                <w:color w:val="000000" w:themeColor="text1"/>
              </w:rPr>
              <w:t>)</w:t>
            </w:r>
          </w:p>
        </w:tc>
        <w:tc>
          <w:tcPr>
            <w:tcW w:w="1275" w:type="dxa"/>
            <w:shd w:val="clear" w:color="auto" w:fill="DBE5F1"/>
          </w:tcPr>
          <w:p w:rsidR="006B6429" w:rsidRPr="0044196C" w:rsidRDefault="006B6429" w:rsidP="00787266">
            <w:pPr>
              <w:keepLines/>
              <w:autoSpaceDE w:val="0"/>
              <w:autoSpaceDN w:val="0"/>
              <w:adjustRightInd w:val="0"/>
              <w:spacing w:before="60" w:after="60"/>
              <w:ind w:firstLine="0"/>
              <w:jc w:val="center"/>
              <w:rPr>
                <w:color w:val="000000" w:themeColor="text1"/>
              </w:rPr>
            </w:pPr>
            <w:r w:rsidRPr="0044196C">
              <w:rPr>
                <w:color w:val="000000" w:themeColor="text1"/>
              </w:rPr>
              <w:t>–</w:t>
            </w:r>
          </w:p>
          <w:p w:rsidR="006B6429" w:rsidRPr="0044196C" w:rsidRDefault="006B6429" w:rsidP="00787266">
            <w:pPr>
              <w:keepLines/>
              <w:autoSpaceDE w:val="0"/>
              <w:autoSpaceDN w:val="0"/>
              <w:adjustRightInd w:val="0"/>
              <w:spacing w:before="60" w:after="60"/>
              <w:ind w:firstLine="0"/>
              <w:jc w:val="center"/>
              <w:rPr>
                <w:color w:val="000000" w:themeColor="text1"/>
              </w:rPr>
            </w:pPr>
          </w:p>
          <w:p w:rsidR="006B6429" w:rsidRPr="0044196C" w:rsidRDefault="006B6429" w:rsidP="00787266">
            <w:pPr>
              <w:keepLines/>
              <w:autoSpaceDE w:val="0"/>
              <w:autoSpaceDN w:val="0"/>
              <w:adjustRightInd w:val="0"/>
              <w:spacing w:before="60" w:after="60"/>
              <w:ind w:firstLine="0"/>
              <w:jc w:val="center"/>
              <w:rPr>
                <w:color w:val="000000" w:themeColor="text1"/>
              </w:rPr>
            </w:pPr>
          </w:p>
          <w:p w:rsidR="00D92B1F" w:rsidRPr="0044196C" w:rsidRDefault="00D92B1F" w:rsidP="00787266">
            <w:pPr>
              <w:keepLines/>
              <w:autoSpaceDE w:val="0"/>
              <w:autoSpaceDN w:val="0"/>
              <w:adjustRightInd w:val="0"/>
              <w:spacing w:before="60" w:after="60"/>
              <w:ind w:firstLine="0"/>
              <w:jc w:val="center"/>
              <w:rPr>
                <w:color w:val="000000" w:themeColor="text1"/>
              </w:rPr>
            </w:pPr>
            <w:r w:rsidRPr="0044196C">
              <w:rPr>
                <w:color w:val="000000" w:themeColor="text1"/>
              </w:rPr>
              <w:t>+</w:t>
            </w:r>
          </w:p>
        </w:tc>
        <w:tc>
          <w:tcPr>
            <w:tcW w:w="1276" w:type="dxa"/>
            <w:shd w:val="clear" w:color="auto" w:fill="DBE5F1"/>
          </w:tcPr>
          <w:p w:rsidR="006B6429" w:rsidRPr="0044196C" w:rsidRDefault="006B6429" w:rsidP="00787266">
            <w:pPr>
              <w:keepLines/>
              <w:autoSpaceDE w:val="0"/>
              <w:autoSpaceDN w:val="0"/>
              <w:adjustRightInd w:val="0"/>
              <w:spacing w:before="60" w:after="60"/>
              <w:ind w:firstLine="0"/>
              <w:jc w:val="center"/>
              <w:rPr>
                <w:color w:val="000000" w:themeColor="text1"/>
              </w:rPr>
            </w:pPr>
            <w:r w:rsidRPr="0044196C">
              <w:rPr>
                <w:color w:val="000000" w:themeColor="text1"/>
              </w:rPr>
              <w:t>–</w:t>
            </w:r>
          </w:p>
          <w:p w:rsidR="006B6429" w:rsidRPr="0044196C" w:rsidRDefault="006B6429" w:rsidP="00787266">
            <w:pPr>
              <w:keepLines/>
              <w:autoSpaceDE w:val="0"/>
              <w:autoSpaceDN w:val="0"/>
              <w:adjustRightInd w:val="0"/>
              <w:spacing w:before="60" w:after="60"/>
              <w:ind w:firstLine="0"/>
              <w:jc w:val="center"/>
              <w:rPr>
                <w:color w:val="000000" w:themeColor="text1"/>
              </w:rPr>
            </w:pPr>
          </w:p>
          <w:p w:rsidR="006B6429" w:rsidRPr="0044196C" w:rsidRDefault="006B6429" w:rsidP="00787266">
            <w:pPr>
              <w:keepLines/>
              <w:autoSpaceDE w:val="0"/>
              <w:autoSpaceDN w:val="0"/>
              <w:adjustRightInd w:val="0"/>
              <w:spacing w:before="60" w:after="60"/>
              <w:ind w:firstLine="0"/>
              <w:jc w:val="center"/>
              <w:rPr>
                <w:color w:val="000000" w:themeColor="text1"/>
              </w:rPr>
            </w:pPr>
          </w:p>
          <w:p w:rsidR="00D92B1F" w:rsidRPr="0044196C" w:rsidRDefault="00D92B1F" w:rsidP="00787266">
            <w:pPr>
              <w:keepLines/>
              <w:autoSpaceDE w:val="0"/>
              <w:autoSpaceDN w:val="0"/>
              <w:adjustRightInd w:val="0"/>
              <w:spacing w:before="60" w:after="60"/>
              <w:ind w:firstLine="0"/>
              <w:jc w:val="center"/>
              <w:rPr>
                <w:color w:val="000000" w:themeColor="text1"/>
              </w:rPr>
            </w:pPr>
            <w:r w:rsidRPr="0044196C">
              <w:rPr>
                <w:color w:val="000000" w:themeColor="text1"/>
              </w:rPr>
              <w:t>–</w:t>
            </w:r>
          </w:p>
        </w:tc>
        <w:tc>
          <w:tcPr>
            <w:tcW w:w="2977" w:type="dxa"/>
            <w:shd w:val="clear" w:color="auto" w:fill="DBE5F1"/>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Доброкачественная гиперплазия предстательной железы</w:t>
            </w:r>
          </w:p>
        </w:tc>
        <w:tc>
          <w:tcPr>
            <w:tcW w:w="4786" w:type="dxa"/>
            <w:shd w:val="clear" w:color="auto" w:fill="DBE5F1"/>
          </w:tcPr>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Сердечно-сосудистые: гипотония, тахикардия</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Общемозговые: головокружение, синкопальные состояния</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Другие: редко – ксеростомия, тошнота, дискомфорт в брюшной полости, запоры</w:t>
            </w:r>
          </w:p>
        </w:tc>
        <w:tc>
          <w:tcPr>
            <w:tcW w:w="3940" w:type="dxa"/>
            <w:shd w:val="clear" w:color="auto" w:fill="DBE5F1"/>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Ортостатическая гипотония в анамнезе, тяжелая хроническая сердечная недостаточность, выраженный стеноз аортального и митрального клапанов, тяжелые нарушения функции печени, беременность, кормление грудью</w:t>
            </w:r>
          </w:p>
        </w:tc>
      </w:tr>
      <w:tr w:rsidR="00787266" w:rsidRPr="0044196C" w:rsidTr="00787266">
        <w:tc>
          <w:tcPr>
            <w:tcW w:w="1668" w:type="dxa"/>
            <w:shd w:val="clear" w:color="auto" w:fill="B8CCE4"/>
          </w:tcPr>
          <w:p w:rsidR="00D92B1F" w:rsidRPr="0044196C" w:rsidRDefault="00D92B1F" w:rsidP="00787266">
            <w:pPr>
              <w:keepLines/>
              <w:autoSpaceDE w:val="0"/>
              <w:autoSpaceDN w:val="0"/>
              <w:adjustRightInd w:val="0"/>
              <w:spacing w:before="60" w:after="60"/>
              <w:ind w:firstLine="0"/>
              <w:jc w:val="left"/>
              <w:rPr>
                <w:b/>
                <w:bCs/>
                <w:color w:val="000000" w:themeColor="text1"/>
              </w:rPr>
            </w:pPr>
            <w:r w:rsidRPr="0044196C">
              <w:rPr>
                <w:b/>
                <w:bCs/>
                <w:color w:val="000000" w:themeColor="text1"/>
              </w:rPr>
              <w:t>Агонисты имидазоли</w:t>
            </w:r>
            <w:r w:rsidR="00787266" w:rsidRPr="0044196C">
              <w:rPr>
                <w:b/>
                <w:bCs/>
                <w:color w:val="000000" w:themeColor="text1"/>
              </w:rPr>
              <w:t>-</w:t>
            </w:r>
            <w:r w:rsidRPr="0044196C">
              <w:rPr>
                <w:b/>
                <w:bCs/>
                <w:color w:val="000000" w:themeColor="text1"/>
              </w:rPr>
              <w:t>новых рецепторов</w:t>
            </w:r>
          </w:p>
        </w:tc>
        <w:tc>
          <w:tcPr>
            <w:tcW w:w="1275" w:type="dxa"/>
            <w:shd w:val="clear" w:color="auto" w:fill="B8CCE4"/>
          </w:tcPr>
          <w:p w:rsidR="00D92B1F" w:rsidRPr="0044196C" w:rsidRDefault="00D92B1F" w:rsidP="00787266">
            <w:pPr>
              <w:keepLines/>
              <w:autoSpaceDE w:val="0"/>
              <w:autoSpaceDN w:val="0"/>
              <w:adjustRightInd w:val="0"/>
              <w:spacing w:before="60" w:after="60"/>
              <w:ind w:firstLine="0"/>
              <w:jc w:val="center"/>
              <w:rPr>
                <w:color w:val="000000" w:themeColor="text1"/>
              </w:rPr>
            </w:pPr>
            <w:r w:rsidRPr="0044196C">
              <w:rPr>
                <w:color w:val="000000" w:themeColor="text1"/>
              </w:rPr>
              <w:t>+</w:t>
            </w:r>
          </w:p>
        </w:tc>
        <w:tc>
          <w:tcPr>
            <w:tcW w:w="1276" w:type="dxa"/>
            <w:shd w:val="clear" w:color="auto" w:fill="B8CCE4"/>
          </w:tcPr>
          <w:p w:rsidR="00D92B1F" w:rsidRPr="0044196C" w:rsidRDefault="00D92B1F" w:rsidP="00787266">
            <w:pPr>
              <w:keepLines/>
              <w:autoSpaceDE w:val="0"/>
              <w:autoSpaceDN w:val="0"/>
              <w:adjustRightInd w:val="0"/>
              <w:spacing w:before="60" w:after="60"/>
              <w:ind w:firstLine="0"/>
              <w:jc w:val="center"/>
              <w:rPr>
                <w:color w:val="000000" w:themeColor="text1"/>
              </w:rPr>
            </w:pPr>
            <w:r w:rsidRPr="0044196C">
              <w:rPr>
                <w:color w:val="000000" w:themeColor="text1"/>
              </w:rPr>
              <w:t>–</w:t>
            </w:r>
          </w:p>
        </w:tc>
        <w:tc>
          <w:tcPr>
            <w:tcW w:w="2977" w:type="dxa"/>
            <w:shd w:val="clear" w:color="auto" w:fill="B8CCE4"/>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Метаболический синдром, сахарный диабет</w:t>
            </w:r>
          </w:p>
        </w:tc>
        <w:tc>
          <w:tcPr>
            <w:tcW w:w="4786" w:type="dxa"/>
            <w:shd w:val="clear" w:color="auto" w:fill="B8CCE4"/>
          </w:tcPr>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Общемозговые: головокружение, слабость, депрессия</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Сердечно-сосудистые: гипотония, приливы</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Желудочно-кишечные: ксеростомия, диспепсия</w:t>
            </w:r>
          </w:p>
          <w:p w:rsidR="00D92B1F" w:rsidRPr="0044196C" w:rsidRDefault="00D92B1F" w:rsidP="00787266">
            <w:pPr>
              <w:keepLines/>
              <w:numPr>
                <w:ilvl w:val="0"/>
                <w:numId w:val="11"/>
              </w:numPr>
              <w:tabs>
                <w:tab w:val="clear" w:pos="1429"/>
                <w:tab w:val="num" w:pos="372"/>
              </w:tabs>
              <w:autoSpaceDE w:val="0"/>
              <w:autoSpaceDN w:val="0"/>
              <w:adjustRightInd w:val="0"/>
              <w:spacing w:before="60" w:after="60"/>
              <w:ind w:left="340" w:hanging="340"/>
              <w:jc w:val="left"/>
              <w:rPr>
                <w:color w:val="000000" w:themeColor="text1"/>
              </w:rPr>
            </w:pPr>
            <w:r w:rsidRPr="0044196C">
              <w:rPr>
                <w:color w:val="000000" w:themeColor="text1"/>
              </w:rPr>
              <w:t>Другие: расстройства половой функции,: кожные высыпания, зуд.</w:t>
            </w:r>
          </w:p>
        </w:tc>
        <w:tc>
          <w:tcPr>
            <w:tcW w:w="3940" w:type="dxa"/>
            <w:shd w:val="clear" w:color="auto" w:fill="B8CCE4"/>
          </w:tcPr>
          <w:p w:rsidR="00D92B1F" w:rsidRPr="0044196C" w:rsidRDefault="00D92B1F" w:rsidP="00787266">
            <w:pPr>
              <w:keepLines/>
              <w:autoSpaceDE w:val="0"/>
              <w:autoSpaceDN w:val="0"/>
              <w:adjustRightInd w:val="0"/>
              <w:spacing w:before="60" w:after="60"/>
              <w:ind w:firstLine="0"/>
              <w:jc w:val="left"/>
              <w:rPr>
                <w:color w:val="000000" w:themeColor="text1"/>
              </w:rPr>
            </w:pPr>
            <w:r w:rsidRPr="0044196C">
              <w:rPr>
                <w:color w:val="000000" w:themeColor="text1"/>
              </w:rPr>
              <w:t>Нежелательно назначение при тяжелой хронической сердечной недостаточности, атриовентрикулярной блокаде II-III ст.</w:t>
            </w:r>
          </w:p>
        </w:tc>
      </w:tr>
    </w:tbl>
    <w:p w:rsidR="00D92B1F" w:rsidRPr="0044196C" w:rsidRDefault="00D92B1F" w:rsidP="009946BA">
      <w:pPr>
        <w:rPr>
          <w:color w:val="000000" w:themeColor="text1"/>
        </w:rPr>
        <w:sectPr w:rsidR="00D92B1F" w:rsidRPr="0044196C" w:rsidSect="00787266">
          <w:pgSz w:w="16840" w:h="11901" w:orient="landscape"/>
          <w:pgMar w:top="426" w:right="567" w:bottom="426" w:left="567" w:header="709" w:footer="181" w:gutter="0"/>
          <w:cols w:space="708"/>
          <w:docGrid w:linePitch="360"/>
        </w:sectPr>
      </w:pPr>
    </w:p>
    <w:p w:rsidR="00B91187" w:rsidRPr="0044196C" w:rsidRDefault="002127A4" w:rsidP="00C52D56">
      <w:pPr>
        <w:pStyle w:val="a0"/>
        <w:rPr>
          <w:color w:val="000000" w:themeColor="text1"/>
        </w:rPr>
      </w:pPr>
      <w:bookmarkStart w:id="65" w:name="_Toc279732224"/>
      <w:bookmarkStart w:id="66" w:name="_Ref279912464"/>
      <w:bookmarkStart w:id="67" w:name="_Ref279912482"/>
      <w:bookmarkStart w:id="68" w:name="_Ref279912535"/>
      <w:r w:rsidRPr="0044196C">
        <w:rPr>
          <w:color w:val="000000" w:themeColor="text1"/>
        </w:rPr>
        <w:lastRenderedPageBreak/>
        <w:t xml:space="preserve">У </w:t>
      </w:r>
      <w:r w:rsidR="00117C2B" w:rsidRPr="0044196C">
        <w:rPr>
          <w:color w:val="000000" w:themeColor="text1"/>
        </w:rPr>
        <w:t>пациентов с</w:t>
      </w:r>
      <w:r w:rsidRPr="0044196C">
        <w:rPr>
          <w:color w:val="000000" w:themeColor="text1"/>
        </w:rPr>
        <w:t>ХБП</w:t>
      </w:r>
      <w:r w:rsidR="00117C2B" w:rsidRPr="0044196C">
        <w:rPr>
          <w:color w:val="000000" w:themeColor="text1"/>
        </w:rPr>
        <w:t xml:space="preserve"> без сахарного диабета </w:t>
      </w:r>
      <w:r w:rsidR="00BB4084" w:rsidRPr="0044196C">
        <w:rPr>
          <w:color w:val="000000" w:themeColor="text1"/>
        </w:rPr>
        <w:t xml:space="preserve">с очень высокой альбуминурией и/или протеинурией &gt; 0,5 г/сут (категория А3) </w:t>
      </w:r>
      <w:r w:rsidRPr="0044196C">
        <w:rPr>
          <w:i/>
          <w:color w:val="000000" w:themeColor="text1"/>
        </w:rPr>
        <w:t>рекомендуется</w:t>
      </w:r>
      <w:r w:rsidR="00BB4084" w:rsidRPr="0044196C">
        <w:rPr>
          <w:color w:val="000000" w:themeColor="text1"/>
        </w:rPr>
        <w:t>назначение ингибитор</w:t>
      </w:r>
      <w:r w:rsidR="00C52D56" w:rsidRPr="0044196C">
        <w:rPr>
          <w:color w:val="000000" w:themeColor="text1"/>
        </w:rPr>
        <w:t>а</w:t>
      </w:r>
      <w:r w:rsidR="00BB4084" w:rsidRPr="0044196C">
        <w:rPr>
          <w:color w:val="000000" w:themeColor="text1"/>
        </w:rPr>
        <w:t>ангиотензинпревращающего фермен</w:t>
      </w:r>
      <w:r w:rsidR="00C52D56" w:rsidRPr="0044196C">
        <w:rPr>
          <w:color w:val="000000" w:themeColor="text1"/>
        </w:rPr>
        <w:t>т</w:t>
      </w:r>
      <w:r w:rsidR="00BB4084" w:rsidRPr="0044196C">
        <w:rPr>
          <w:color w:val="000000" w:themeColor="text1"/>
        </w:rPr>
        <w:t>а (ИАПФ)</w:t>
      </w:r>
      <w:r w:rsidR="00C52D56" w:rsidRPr="0044196C">
        <w:rPr>
          <w:color w:val="000000" w:themeColor="text1"/>
        </w:rPr>
        <w:t xml:space="preserve"> или блокатора рецепторов ангиотензина II 1 типа (БРА) (1</w:t>
      </w:r>
      <w:r w:rsidR="00C52D56" w:rsidRPr="0044196C">
        <w:rPr>
          <w:color w:val="000000" w:themeColor="text1"/>
          <w:lang w:val="en-US"/>
        </w:rPr>
        <w:t>B</w:t>
      </w:r>
      <w:r w:rsidR="00C52D56" w:rsidRPr="0044196C">
        <w:rPr>
          <w:color w:val="000000" w:themeColor="text1"/>
        </w:rPr>
        <w:t>)</w:t>
      </w:r>
      <w:r w:rsidR="004B6CD0" w:rsidRPr="0044196C">
        <w:rPr>
          <w:color w:val="000000" w:themeColor="text1"/>
        </w:rPr>
        <w:t>.</w:t>
      </w:r>
      <w:bookmarkEnd w:id="65"/>
      <w:bookmarkEnd w:id="66"/>
      <w:bookmarkEnd w:id="67"/>
      <w:bookmarkEnd w:id="68"/>
    </w:p>
    <w:p w:rsidR="00117C2B" w:rsidRPr="0044196C" w:rsidRDefault="00117C2B" w:rsidP="00117C2B">
      <w:pPr>
        <w:pStyle w:val="a0"/>
        <w:rPr>
          <w:color w:val="000000" w:themeColor="text1"/>
        </w:rPr>
      </w:pPr>
      <w:bookmarkStart w:id="69" w:name="_Toc279732225"/>
      <w:r w:rsidRPr="0044196C">
        <w:rPr>
          <w:color w:val="000000" w:themeColor="text1"/>
        </w:rPr>
        <w:t xml:space="preserve">У пациентов сХБПбез сахарного диабета с высокой альбуминурией (категория А2) эксперты </w:t>
      </w:r>
      <w:r w:rsidRPr="0044196C">
        <w:rPr>
          <w:i/>
          <w:color w:val="000000" w:themeColor="text1"/>
        </w:rPr>
        <w:t>полагают целесообразным</w:t>
      </w:r>
      <w:r w:rsidRPr="0044196C">
        <w:rPr>
          <w:color w:val="000000" w:themeColor="text1"/>
        </w:rPr>
        <w:t>назначение ингибитора ангиотензинпревращающего фермента (ИАПФ) или блокатора рецепторов ангиотензина II 1 типа (БРА) (2</w:t>
      </w:r>
      <w:r w:rsidRPr="0044196C">
        <w:rPr>
          <w:color w:val="000000" w:themeColor="text1"/>
          <w:lang w:val="en-US"/>
        </w:rPr>
        <w:t>D</w:t>
      </w:r>
      <w:r w:rsidRPr="0044196C">
        <w:rPr>
          <w:color w:val="000000" w:themeColor="text1"/>
        </w:rPr>
        <w:t>).</w:t>
      </w:r>
      <w:bookmarkEnd w:id="69"/>
    </w:p>
    <w:p w:rsidR="00C52D56" w:rsidRPr="0044196C" w:rsidRDefault="00320079" w:rsidP="006D2A10">
      <w:pPr>
        <w:pStyle w:val="a0"/>
        <w:rPr>
          <w:color w:val="000000" w:themeColor="text1"/>
        </w:rPr>
      </w:pPr>
      <w:r w:rsidRPr="0044196C">
        <w:rPr>
          <w:color w:val="000000" w:themeColor="text1"/>
        </w:rPr>
        <w:t xml:space="preserve">У </w:t>
      </w:r>
      <w:r w:rsidR="00117C2B" w:rsidRPr="0044196C">
        <w:rPr>
          <w:color w:val="000000" w:themeColor="text1"/>
        </w:rPr>
        <w:t>пациентов с</w:t>
      </w:r>
      <w:r w:rsidRPr="0044196C">
        <w:rPr>
          <w:color w:val="000000" w:themeColor="text1"/>
        </w:rPr>
        <w:t xml:space="preserve">ХБП с сахарным диабетомс очень высокой альбуминурией и/или протеинурией &gt; 0,5 г/сут (категория А3) </w:t>
      </w:r>
      <w:r w:rsidRPr="0044196C">
        <w:rPr>
          <w:i/>
          <w:color w:val="000000" w:themeColor="text1"/>
        </w:rPr>
        <w:t>рекомендуется</w:t>
      </w:r>
      <w:r w:rsidRPr="0044196C">
        <w:rPr>
          <w:color w:val="000000" w:themeColor="text1"/>
        </w:rPr>
        <w:t>назначение ингибитора ангиотензинпревращающего фермента (ИАПФ) или блокатора рецепторов ангиотензина II 1 типа (БРА) (1</w:t>
      </w:r>
      <w:r w:rsidRPr="0044196C">
        <w:rPr>
          <w:color w:val="000000" w:themeColor="text1"/>
          <w:lang w:val="en-US"/>
        </w:rPr>
        <w:t>B</w:t>
      </w:r>
      <w:r w:rsidRPr="0044196C">
        <w:rPr>
          <w:color w:val="000000" w:themeColor="text1"/>
        </w:rPr>
        <w:t>).</w:t>
      </w:r>
    </w:p>
    <w:p w:rsidR="00117C2B" w:rsidRPr="0044196C" w:rsidRDefault="00117C2B" w:rsidP="00117C2B">
      <w:pPr>
        <w:pStyle w:val="a0"/>
        <w:rPr>
          <w:color w:val="000000" w:themeColor="text1"/>
        </w:rPr>
      </w:pPr>
      <w:bookmarkStart w:id="70" w:name="_Ref279912549"/>
      <w:r w:rsidRPr="0044196C">
        <w:rPr>
          <w:color w:val="000000" w:themeColor="text1"/>
        </w:rPr>
        <w:t xml:space="preserve">У пациентов сХБПс сахарным диабетом с высокой альбуминурией (категория А2) эксперты </w:t>
      </w:r>
      <w:r w:rsidRPr="0044196C">
        <w:rPr>
          <w:i/>
          <w:color w:val="000000" w:themeColor="text1"/>
        </w:rPr>
        <w:t>полагают целесообразным</w:t>
      </w:r>
      <w:r w:rsidRPr="0044196C">
        <w:rPr>
          <w:color w:val="000000" w:themeColor="text1"/>
        </w:rPr>
        <w:t>назначение ингибитора ангиотензинпревращающего фермента (ИАПФ) или блокатора рецепторов ангиотензина II 1 типа (БРА) (2</w:t>
      </w:r>
      <w:r w:rsidRPr="0044196C">
        <w:rPr>
          <w:color w:val="000000" w:themeColor="text1"/>
          <w:lang w:val="en-US"/>
        </w:rPr>
        <w:t>D</w:t>
      </w:r>
      <w:r w:rsidRPr="0044196C">
        <w:rPr>
          <w:color w:val="000000" w:themeColor="text1"/>
        </w:rPr>
        <w:t>).</w:t>
      </w:r>
      <w:bookmarkEnd w:id="70"/>
    </w:p>
    <w:p w:rsidR="003309DC" w:rsidRPr="0044196C" w:rsidRDefault="003309DC" w:rsidP="003309DC">
      <w:pPr>
        <w:rPr>
          <w:color w:val="000000" w:themeColor="text1"/>
        </w:rPr>
      </w:pPr>
      <w:r w:rsidRPr="0044196C">
        <w:rPr>
          <w:color w:val="000000" w:themeColor="text1"/>
        </w:rPr>
        <w:t>ГиперактивацияРАС, приводящая к нарушению почечной гемодинамики (к</w:t>
      </w:r>
      <w:r w:rsidR="00480BE9" w:rsidRPr="0044196C">
        <w:rPr>
          <w:color w:val="000000" w:themeColor="text1"/>
        </w:rPr>
        <w:t>лубочковой гипертензии и ишемии</w:t>
      </w:r>
      <w:r w:rsidRPr="0044196C">
        <w:rPr>
          <w:color w:val="000000" w:themeColor="text1"/>
        </w:rPr>
        <w:t xml:space="preserve"> почечного тубулоинтерстиция)</w:t>
      </w:r>
      <w:r w:rsidR="00480BE9" w:rsidRPr="0044196C">
        <w:rPr>
          <w:color w:val="000000" w:themeColor="text1"/>
        </w:rPr>
        <w:t>, усилению протеинурии и протеинурического</w:t>
      </w:r>
      <w:r w:rsidR="00D77736" w:rsidRPr="0044196C">
        <w:rPr>
          <w:color w:val="000000" w:themeColor="text1"/>
        </w:rPr>
        <w:t xml:space="preserve"> </w:t>
      </w:r>
      <w:r w:rsidR="00480BE9" w:rsidRPr="0044196C">
        <w:rPr>
          <w:color w:val="000000" w:themeColor="text1"/>
        </w:rPr>
        <w:t>ремоделирования почечных канальцев,</w:t>
      </w:r>
      <w:r w:rsidRPr="0044196C">
        <w:rPr>
          <w:color w:val="000000" w:themeColor="text1"/>
        </w:rPr>
        <w:t xml:space="preserve"> игра</w:t>
      </w:r>
      <w:r w:rsidR="00480BE9" w:rsidRPr="0044196C">
        <w:rPr>
          <w:color w:val="000000" w:themeColor="text1"/>
        </w:rPr>
        <w:t>ет</w:t>
      </w:r>
      <w:r w:rsidRPr="0044196C">
        <w:rPr>
          <w:color w:val="000000" w:themeColor="text1"/>
        </w:rPr>
        <w:t xml:space="preserve"> ключевую роль в прогрессировании ХБП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"10.1038/ncpneph1015", "ISSN" : "1745-8331", "PMID" : "19065132", "abstract" : "Evidence suggests that virtually every organ system in the human body possesses a local renin-angiotensin system (RAS). These local systems seem to be independently regulated and compartmentalized from the plasma circulation, perhaps with the exception of the vascular endothelial system, which is responsible for maintaining physiological plasma levels of RAS components. Among these local RASs, the kidney RAS--the focus of this Review--seems to be of critical importance for the regulation of blood pressure and salt balance. Indeed, overactivation of the intrarenal RAS in certain disease states constitutes a pathogenic mechanism that leads to tissue injury, proliferation, fibrosis and ultimately, end-organ damage. Intrarenal levels of angiotensin peptides are considerably higher than those in plasma or any other organ tissue. Moreover, the kidney has a unique capacity to degrade angiotensin peptides, perhaps to maintain its intrinsic homeostasis. Interestingly, each local RAS has a distinct enzymatic profile resulting in different patterns of angiotensin fragment generation in different tissues. A better understanding of the autocrine and paracrine mechanisms involved in the renal RAS and other local RASs might direct future organ-specific therapy.", "author" : [ { "dropping-particle" : "", "family" : "Velez", "given" : "Juan Carlos Q", "non-dropping-particle" : "", "parse-names" : false, "suffix" : "" } ], "container-title" : "Nature clinical practice. Nephrology", "id" : "ITEM-1", "issue" : "2", "issued" : { "date-parts" : [ [ "2009", "2" ] ] }, "page" : "89-100", "title" : "The importance of the intrarenal renin-angiotensin system.", "type" : "article-journal", "volume" : "5" }, "uris" : [ "http://www.mendeley.com/documents/?uuid=127241b7-0c9b-4bcc-86b4-98649ba75ac6" ] } ], "mendeley" : { "previouslyFormattedCitation" : "[Velez, 2009]"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[Velez, 2009]</w:t>
      </w:r>
      <w:r w:rsidR="009D7C63" w:rsidRPr="0044196C">
        <w:rPr>
          <w:color w:val="000000" w:themeColor="text1"/>
        </w:rPr>
        <w:fldChar w:fldCharType="end"/>
      </w:r>
      <w:r w:rsidR="00480BE9" w:rsidRPr="0044196C">
        <w:rPr>
          <w:color w:val="000000" w:themeColor="text1"/>
        </w:rPr>
        <w:t xml:space="preserve">. Поэтому применение препаратов, подавляющих РАС – </w:t>
      </w:r>
      <w:r w:rsidRPr="0044196C">
        <w:rPr>
          <w:color w:val="000000" w:themeColor="text1"/>
        </w:rPr>
        <w:t xml:space="preserve">ИАПФ и БРА занимает центральное место в нефропротективной стратегии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"10.1038/kisup.2013.80", "ISSN" : "2157-1724", "PMID" : "25019022", "abstract" : "Early identification of chronic kidney disease (CKD) provides an opportunity to implement therapies to improve kidney function and slow progression. The goal of this article is to review established and developing clinical therapies directed at slowing progression. The importance of controlling blood pressure will be discussed along with the target blood pressure that should be achieved in CKD patients. Therapy directed at inhibiting the renin-angiotensin-aldosterone system remains the mainstay of treatment with single-agent inhibition of this system being as good as dual blockade with fewer adverse effects. Other therapies that may be used include correction of metabolic acidosis, dietary protein restriction, and new models for delivering care to patients with CKD. Emerging therapies targeting endothelin, uric acid, kidney fibrosis, and oxidant stress hold promise for the future.", "author" : [ { "dropping-particle" : "", "family" : "Drawz", "given" : "Paul E", "non-dropping-particle" : "", "parse-names" : false, "suffix" : "" }, { "dropping-particle" : "", "family" : "Rosenberg", "given" : "Mark E", "non-dropping-particle" : "", "parse-names" : false, "suffix" : "" } ], "container-title" : "Kidney international supplements", "id" : "ITEM-1", "issue" : "4", "issued" : { "date-parts" : [ [ "2013", "12" ] ] }, "page" : "372-376", "publisher" : "International Society of Nephrology", "shortTitle" : "Kidney inter., Suppl.", "title" : "Slowing progression of chronic kidney disease.", "type" : "article-journal", "volume" : "3" }, "uris" : [ "http://www.mendeley.com/documents/?uuid=a712725a-aab0-4f29-943d-2d8874b98dee" ] } ], "mendeley" : { "previouslyFormattedCitation" : "[Drawz, Rosenberg, 2013]"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[Drawz, Rosenberg, 2013]</w:t>
      </w:r>
      <w:r w:rsidR="009D7C63" w:rsidRPr="0044196C">
        <w:rPr>
          <w:color w:val="000000" w:themeColor="text1"/>
        </w:rPr>
        <w:fldChar w:fldCharType="end"/>
      </w:r>
      <w:r w:rsidRPr="0044196C">
        <w:rPr>
          <w:color w:val="000000" w:themeColor="text1"/>
        </w:rPr>
        <w:t xml:space="preserve">. Снижение АД является лишь одним из механизмов благоприятного воздействия данных </w:t>
      </w:r>
      <w:r w:rsidR="00480BE9" w:rsidRPr="0044196C">
        <w:rPr>
          <w:color w:val="000000" w:themeColor="text1"/>
        </w:rPr>
        <w:t>лекарственных средств</w:t>
      </w:r>
      <w:r w:rsidRPr="0044196C">
        <w:rPr>
          <w:color w:val="000000" w:themeColor="text1"/>
        </w:rPr>
        <w:t xml:space="preserve"> на течение ХБП: они также обладают антипротеинурическим действием, устраняют клубочковую гипертензию и ишемию почечного тубулоинтерстиция, подавляют процессы воспаления и фиброгенеза</w:t>
      </w:r>
      <w:r w:rsidR="00D77736" w:rsidRPr="0044196C">
        <w:rPr>
          <w:color w:val="000000" w:themeColor="text1"/>
        </w:rPr>
        <w:t xml:space="preserve"> </w:t>
      </w:r>
      <w:r w:rsidR="009D7C63" w:rsidRPr="0044196C">
        <w:rPr>
          <w:color w:val="000000" w:themeColor="text1"/>
        </w:rPr>
        <w:fldChar w:fldCharType="begin" w:fldLock="1"/>
      </w:r>
      <w:r w:rsidR="00EA3B99" w:rsidRPr="0044196C">
        <w:rPr>
          <w:color w:val="000000" w:themeColor="text1"/>
        </w:rPr>
        <w:instrText>ADDIN CSL_CITATION { "citationItems" : [ { "id" : "ITEM-1", "itemData" : { "author" : [ { "dropping-particle" : "", "family" : "Kobori", "given" : "Hiroyuki", "non-dropping-particle" : "", "parse-names" : false, "suffix" : "" }, { "dropping-particle" : "", "family" : "Nangaku", "given" : "Masaomi", "non-dropping-particle" : "", "parse-names" : false, "suffix" : "" }, { "dropping-particle" : "", "family" : "Navar", "given" : "L Gabriel", "non-dropping-particle" : "", "parse-names" : false, "suffix" : "" }, { "dropping-particle" : "", "family" : "Nishiyama", "given" : "Akira", "non-dropping-particle" : "", "parse-names" : false, "suffix" : "" } ], "container-title" : "Pharmacological reviews", "id" : "ITEM-1", "issue" : "3", "issued" : { "date-parts" : [ [ "2007" ] ] }, "page" : "251-287", "title" : "The intrarenal renin-angiotensin system: from physiology to the pathobiology of hypertension and kidney disease", "type" : "article-journal", "volume" : "59" }, "uris" : [ "http://www.mendeley.com/documents/?uuid=248b66e0-8fc5-4796-9b8d-7c6a73423a4f" ] } ], "mendeley" : { "previouslyFormattedCitation" : "[Kobori \u0438 \u0434\u0440., 2007]"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[Kobori и др., 2007]</w:t>
      </w:r>
      <w:r w:rsidR="009D7C63" w:rsidRPr="0044196C">
        <w:rPr>
          <w:color w:val="000000" w:themeColor="text1"/>
        </w:rPr>
        <w:fldChar w:fldCharType="end"/>
      </w:r>
      <w:r w:rsidRPr="0044196C">
        <w:rPr>
          <w:color w:val="000000" w:themeColor="text1"/>
        </w:rPr>
        <w:t xml:space="preserve">. По данным ряда проспективных исследований лечение ИАПФ или БРА </w:t>
      </w:r>
      <w:r w:rsidR="00480BE9" w:rsidRPr="0044196C">
        <w:rPr>
          <w:color w:val="000000" w:themeColor="text1"/>
        </w:rPr>
        <w:t>существенно</w:t>
      </w:r>
      <w:r w:rsidRPr="0044196C">
        <w:rPr>
          <w:color w:val="000000" w:themeColor="text1"/>
        </w:rPr>
        <w:t xml:space="preserve"> снижает риск развития ТПН у больных ХБП диабетической и недиабетической природы </w:t>
      </w:r>
      <w:r w:rsidR="009D7C63" w:rsidRPr="0044196C">
        <w:rPr>
          <w:color w:val="000000" w:themeColor="text1"/>
        </w:rPr>
        <w:fldChar w:fldCharType="begin" w:fldLock="1"/>
      </w:r>
      <w:r w:rsidR="00EA3B99" w:rsidRPr="0044196C">
        <w:rPr>
          <w:color w:val="000000" w:themeColor="text1"/>
        </w:rPr>
        <w:instrText>ADDIN CSL_CITATION { "citationItems" : [ { "id" : "ITEM-1", "itemData" : { "author" : [ { "dropping-particle" : "", "family" : "Ruggenenti", "given" : "Piero", "non-dropping-particle" : "", "parse-names" : false, "suffix" : "" }, { "dropping-particle" : "", "family" : "Perna", "given" : "Annalisa", "non-dropping-particle" : "", "parse-names" : false, "suffix" : "" }, { "dropping-particle" : "", "family" : "Gherardi", "given" : "Giulia", "non-dropping-particle" : "", "parse-names" : false, "suffix" : "" }, { "dropping-particle" : "", "family" : "Gaspari", "given" : "Flavio", "non-dropping-particle" : "", "parse-names" : false, "suffix" : "" }, { "dropping-particle" : "", "family" : "Benini", "given" : "Roberto", "non-dropping-particle" : "", "parse-names" : false, "suffix" : "" }, { "dropping-particle" : "", "family" : "Remuzzi", "given" : "Giuseppe", "non-dropping-particle" : "", "parse-names" : false, "suffix" : "" }, { "dropping-particle" : "", "family" : "Italiano", "given" : "Gruppo", "non-dropping-particle" : "", "parse-names" : false, "suffix" : "" }, { "dropping-particle" : "", "family" : "Gisen", "given" : "Nefrologia", "non-dropping-particle" : "", "parse-names" : false, "suffix" : "" } ], "container-title" : "Lancet", "id" : "ITEM-1", "issued" : { "date-parts" : [ [ "1998" ] ] }, "page" : "1252-1256", "title" : "Renal function and requirement for dialysis in chronic nephropathy patients on long-term ramipril : REIN follow-up trial", "type" : "article-journal", "volume" : "352" }, "uris" : [ "http://www.mendeley.com/documents/?uuid=21cb3ffd-fb7d-4262-b1d8-1898d3551707" ] }, { "id" : "ITEM-2", "itemData" : { "DOI" : "10.1056/NEJM199604113341502", "ISSN" : "0028-4793", "PMID" : "8596594", "abstract" : "BACKGROUND: Drugs that inhibit angiotensin-converting enzyme slow the progression of renal insufficiency in patients with diabetic neuropathy. Whether these drugs have a similar action in patients with other renal diseases is not known. We conducted a study to determine the effect of the angiotensin-converting-enzyme inhibitor benazepril on the progression of renal insufficiency in patients with various underlying renal diseases.\n\nMETHODS: In a three-year trial involving 583 patients with renal insufficiency caused by various disorders, 300 patients received benazepril and 283 received placebo. The underlying diseases included glomerulopathies (in 192 patients), interstitial nephritis (in 105), nephrosclerosis (in 97), polycystic kidney disease (in 64), diabetic nephropathy (in 21), and miscellaneous or unknown disorders (in 104). The severity of renal insufficiency was classified according to the base-line creatinine clearance: 227 patients had mild insufficiency (creatinine clearance, 46 TO 60 ml per minute), and 356 had moderate insufficiency (creatinine clearance, 30 to 45 ml per minute). The primary end point was a doubling of the base-line serum creatine concentration or the need for dialysis.\n\nRESULTS: At three years. 31 patients in the benazepril group and 57 in the placebo group had reached the primary end point (P&lt;0.001). In the benazepril group, the reduction in the risk of reaching the end point was 53 percent overall (95 percent confidence interval, 27 to 70 percent), 71 percent (95 percent confidence interval, 21 to 90 percent) among the patients with mild renal insufficiency, and 46 percent (95 percent confidence interval, 12 to 67 percent) among those with moderate renal insufficiency. The reduction in risk was greatest among the male patients; those with glomerular diseases, diabetic nephropathy, or miscellaneous or unknown causes of renal disease; and those with base-line urinary protein excretion above 1 g per 24 hours. Benazepril was not effective in patients with polycystic disease. Diastolic pressure decreased by 3.5 to 5.0 mm Hg in the benazepril group and increased by 0.2 to 1.5 mm Hg in the placebo group.\n\nCONCLUSIONS: Benazepril provides protection against the progression of renal insufficiency in patients with various renal diseases.", "author" : [ { "dropping-particle" : "", "family" : "Maschio", "given" : "Giuseppe", "non-dropping-particle" : "", "parse-names" : false, "suffix" : "" }, { "dropping-particle" : "", "family" : "Alberti", "given" : "Daniele", "non-dropping-particle" : "", "parse-names" : false, "suffix" : "" }, { "dropping-particle" : "", "family" : "Janin", "given" : "G\u00e9rard", "non-dropping-particle" : "", "parse-names" : false, "suffix" : "" }, { "dropping-particle" : "", "family" : "Locatelli", "given" : "Francesco", "non-dropping-particle" : "", "parse-names" : false, "suffix" : "" }, { "dropping-particle" : "", "family" : "Mann", "given" : "Johannes F.E.", "non-dropping-particle" : "", "parse-names" : false, "suffix" : "" }, { "dropping-particle" : "", "family" : "Motolese", "given" : "Mario", "non-dropping-particle" : "", "parse-names" : false, "suffix" : "" }, { "dropping-particle" : "", "family" : "Ponticelli", "given" : "Claudio", "non-dropping-particle" : "", "parse-names" : false, "suffix" : "" }, { "dropping-particle" : "", "family" : "Ritz", "given" : "Eberhard", "non-dropping-particle" : "", "parse-names" : false, "suffix" : "" }, { "dropping-particle" : "", "family" : "Zucchelli", "given" : "Pietro", "non-dropping-particle" : "", "parse-names" : false, "suffix" : "" } ], "container-title" : "New England Journal of Medicine", "id" : "ITEM-2", "issue" : "15", "issued" : { "date-parts" : [ [ "1996", "4", "11" ] ] }, "page" : "939-945", "title" : "Effect of the Angiotensin-Converting\u2013Enzyme Inhibitor Benazepril on the Progression of Chronic Renal Insufficiency", "type" : "article-journal", "volume" : "334" }, "uris" : [ "http://www.mendeley.com/documents/?uuid=82fc8419-072b-4841-8b58-fababe463d4d" ] }, { "id" : "ITEM-3", "itemData" : { "author" : [ { "dropping-particle" : "", "family" : "Brenner", "given" : "BM", "non-dropping-particle" : "", "parse-names" : false, "suffix" : "" }, { "dropping-particle" : "", "family" : "Cooper", "given" : "ME", "non-dropping-particle" : "", "parse-names" : false, "suffix" : "" }, { "dropping-particle" : "de", "family" : "Zeeuw", "given" : "D", "non-dropping-particle" : "", "parse-names" : false, "suffix" : "" }, { "dropping-particle" : "", "family" : "Keane", "given" : "WF", "non-dropping-particle" : "", "parse-names" : false, "suffix" : "" }, { "dropping-particle" : "", "family" : "Mitch", "given" : "William E", "non-dropping-particle" : "", "parse-names" : false, "suffix" : "" }, { "dropping-particle" : "", "family" : "Parving", "given" : "Hans-Henrik", "non-dropping-particle" : "", "parse-names" : false, "suffix" : "" }, { "dropping-particle" : "", "family" : "Snapinn", "given" : "SM", "non-dropping-particle" : "", "parse-names" : false, "suffix" : "" }, { "dropping-particle" : "", "family" : "Zhang", "given" : "Z", "non-dropping-particle" : "", "parse-names" : false, "suffix" : "" }, { "dropping-particle" : "", "family" : "Shahinfar", "given" : "Shahnaz", "non-dropping-particle" : "", "parse-names" : false, "suffix" : "" } ], "container-title" : "New England Journal of \u2026", "id" : "ITEM-3", "issued" : { "date-parts" : [ [ "2001" ] ] }, "page" : "861\u2013869", "title" : "Effects of losartan on renal and cardiovascular outcomes in patients with type 2 diabetes and nephropathy", "type" : "article-journal", "volume" : "345" }, "uris" : [ "http://www.mendeley.com/documents/?uuid=6c1d49e9-1525-47bf-8e49-8e25717c38bb" ] }, { "id" : "ITEM-4", "itemData" : { "author" : [ { "dropping-particle" : "", "family" : "Lewis", "given" : "EJ", "non-dropping-particle" : "", "parse-names" : false, "suffix" : "" }, { "dropping-particle" : "", "family" : "Hunsicker", "given" : "LG", "non-dropping-particle" : "", "parse-names" : false, "suffix" : "" }, { "dropping-particle" : "", "family" : "Clarke", "given" : "WR", "non-dropping-particle" : "", "parse-names" : false, "suffix" : "" }, { "dropping-particle" : "", "family" : "Berl", "given" : "T", "non-dropping-particle" : "", "parse-names" : false, "suffix" : "" } ], "container-title" : "New England Journal of \u2026", "id" : "ITEM-4", "issue" : "12", "issued" : { "date-parts" : [ [ "2001" ] ] }, "page" : "851-860", "title" : "Renoprotective effect of the angiotensin-receptor antagonist irbesartan in patients with nephropathy due to type 2 diabetes", "type" : "article-journal", "volume" : "345" }, "uris" : [ "http://www.mendeley.com/documents/?uuid=36f06501-da39-4cff-9278-681a230f0074" ] } ], "mendeley" : { "previouslyFormattedCitation" : "[Brenner \u0438 \u0434\u0440., 2001; Lewis \u0438 \u0434\u0440., 2001; Maschio \u0438 \u0434\u0440., 1996; Ruggenenti \u0438 \u0434\u0440., 1998]"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[Brenner и др., 2001; Lewis и др., 2001; Maschio и др., 1996; Ruggenenti и др., 1998]</w:t>
      </w:r>
      <w:r w:rsidR="009D7C63" w:rsidRPr="0044196C">
        <w:rPr>
          <w:color w:val="000000" w:themeColor="text1"/>
        </w:rPr>
        <w:fldChar w:fldCharType="end"/>
      </w:r>
      <w:r w:rsidRPr="0044196C">
        <w:rPr>
          <w:color w:val="000000" w:themeColor="text1"/>
        </w:rPr>
        <w:t>.</w:t>
      </w:r>
      <w:r w:rsidR="00FA1E09" w:rsidRPr="0044196C">
        <w:rPr>
          <w:color w:val="000000" w:themeColor="text1"/>
        </w:rPr>
        <w:t>Так, в исследовании</w:t>
      </w:r>
      <w:r w:rsidR="00D77736" w:rsidRPr="0044196C">
        <w:rPr>
          <w:color w:val="000000" w:themeColor="text1"/>
        </w:rPr>
        <w:t xml:space="preserve"> </w:t>
      </w:r>
      <w:r w:rsidR="007D42CF" w:rsidRPr="0044196C">
        <w:rPr>
          <w:color w:val="000000" w:themeColor="text1"/>
          <w:lang w:val="en-US"/>
        </w:rPr>
        <w:t>REIN</w:t>
      </w:r>
      <w:r w:rsidR="007D42CF" w:rsidRPr="0044196C">
        <w:rPr>
          <w:color w:val="000000" w:themeColor="text1"/>
        </w:rPr>
        <w:t xml:space="preserve">, при использовании ингибитора АПФ рамиприла у больных с недиабетическими формами ХБП </w:t>
      </w:r>
      <w:r w:rsidR="00A950B6" w:rsidRPr="0044196C">
        <w:rPr>
          <w:color w:val="000000" w:themeColor="text1"/>
        </w:rPr>
        <w:t xml:space="preserve">(хроническим гломерулонефритом, поликистозной болезнью почек) </w:t>
      </w:r>
      <w:r w:rsidR="007D42CF" w:rsidRPr="0044196C">
        <w:rPr>
          <w:color w:val="000000" w:themeColor="text1"/>
        </w:rPr>
        <w:t>р</w:t>
      </w:r>
      <w:r w:rsidR="00265481" w:rsidRPr="0044196C">
        <w:rPr>
          <w:color w:val="000000" w:themeColor="text1"/>
        </w:rPr>
        <w:t>иск развития ТПН или знач</w:t>
      </w:r>
      <w:r w:rsidR="00FA1E09" w:rsidRPr="0044196C">
        <w:rPr>
          <w:color w:val="000000" w:themeColor="text1"/>
        </w:rPr>
        <w:t>ительного снижения СКФ уменьшал</w:t>
      </w:r>
      <w:r w:rsidR="00265481" w:rsidRPr="0044196C">
        <w:rPr>
          <w:color w:val="000000" w:themeColor="text1"/>
        </w:rPr>
        <w:t>ся на 49</w:t>
      </w:r>
      <w:r w:rsidR="007D42CF" w:rsidRPr="0044196C">
        <w:rPr>
          <w:color w:val="000000" w:themeColor="text1"/>
        </w:rPr>
        <w:t xml:space="preserve">% по сравнению с группой получавших плацебо </w:t>
      </w:r>
      <w:r w:rsidR="00A950B6" w:rsidRPr="0044196C">
        <w:rPr>
          <w:color w:val="000000" w:themeColor="text1"/>
        </w:rPr>
        <w:t>в дополнение к обычной антигипертензивной терапии</w:t>
      </w:r>
      <w:r w:rsidR="00D77736" w:rsidRPr="0044196C">
        <w:rPr>
          <w:color w:val="000000" w:themeColor="text1"/>
        </w:rPr>
        <w:t xml:space="preserve"> </w:t>
      </w:r>
      <w:r w:rsidR="009D7C63" w:rsidRPr="0044196C">
        <w:rPr>
          <w:color w:val="000000" w:themeColor="text1"/>
          <w:lang w:val="en-US"/>
        </w:rPr>
        <w:fldChar w:fldCharType="begin" w:fldLock="1"/>
      </w:r>
      <w:r w:rsidR="00EA3B99" w:rsidRPr="0044196C">
        <w:rPr>
          <w:color w:val="000000" w:themeColor="text1"/>
          <w:lang w:val="en-US"/>
        </w:rPr>
        <w:instrText>ADDIN</w:instrText>
      </w:r>
      <w:r w:rsidR="00EA3B99" w:rsidRPr="0044196C">
        <w:rPr>
          <w:color w:val="000000" w:themeColor="text1"/>
        </w:rPr>
        <w:instrText xml:space="preserve"> </w:instrText>
      </w:r>
      <w:r w:rsidR="00EA3B99" w:rsidRPr="0044196C">
        <w:rPr>
          <w:color w:val="000000" w:themeColor="text1"/>
          <w:lang w:val="en-US"/>
        </w:rPr>
        <w:instrText>CSL</w:instrText>
      </w:r>
      <w:r w:rsidR="00EA3B99" w:rsidRPr="0044196C">
        <w:rPr>
          <w:color w:val="000000" w:themeColor="text1"/>
        </w:rPr>
        <w:instrText>_</w:instrText>
      </w:r>
      <w:r w:rsidR="00EA3B99" w:rsidRPr="0044196C">
        <w:rPr>
          <w:color w:val="000000" w:themeColor="text1"/>
          <w:lang w:val="en-US"/>
        </w:rPr>
        <w:instrText>CITATION</w:instrText>
      </w:r>
      <w:r w:rsidR="00EA3B99" w:rsidRPr="0044196C">
        <w:rPr>
          <w:color w:val="000000" w:themeColor="text1"/>
        </w:rPr>
        <w:instrText xml:space="preserve"> { "</w:instrText>
      </w:r>
      <w:r w:rsidR="00EA3B99" w:rsidRPr="0044196C">
        <w:rPr>
          <w:color w:val="000000" w:themeColor="text1"/>
          <w:lang w:val="en-US"/>
        </w:rPr>
        <w:instrText>citationItems</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Gisen</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The</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Gruppo</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Group</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Epidemiologici</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Studi</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"1997" ] ] }, "</w:instrText>
      </w:r>
      <w:r w:rsidR="00EA3B99" w:rsidRPr="0044196C">
        <w:rPr>
          <w:color w:val="000000" w:themeColor="text1"/>
          <w:lang w:val="en-US"/>
        </w:rPr>
        <w:instrText>page</w:instrText>
      </w:r>
      <w:r w:rsidR="00EA3B99" w:rsidRPr="0044196C">
        <w:rPr>
          <w:color w:val="000000" w:themeColor="text1"/>
        </w:rPr>
        <w:instrText>" : "1857-1863",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Randomised</w:instrText>
      </w:r>
      <w:r w:rsidR="00EA3B99" w:rsidRPr="0044196C">
        <w:rPr>
          <w:color w:val="000000" w:themeColor="text1"/>
        </w:rPr>
        <w:instrText xml:space="preserve"> </w:instrText>
      </w:r>
      <w:r w:rsidR="00EA3B99" w:rsidRPr="0044196C">
        <w:rPr>
          <w:color w:val="000000" w:themeColor="text1"/>
          <w:lang w:val="en-US"/>
        </w:rPr>
        <w:instrText>placebo</w:instrText>
      </w:r>
      <w:r w:rsidR="00EA3B99" w:rsidRPr="0044196C">
        <w:rPr>
          <w:color w:val="000000" w:themeColor="text1"/>
        </w:rPr>
        <w:instrText>-</w:instrText>
      </w:r>
      <w:r w:rsidR="00EA3B99" w:rsidRPr="0044196C">
        <w:rPr>
          <w:color w:val="000000" w:themeColor="text1"/>
          <w:lang w:val="en-US"/>
        </w:rPr>
        <w:instrText>controlled</w:instrText>
      </w:r>
      <w:r w:rsidR="00EA3B99" w:rsidRPr="0044196C">
        <w:rPr>
          <w:color w:val="000000" w:themeColor="text1"/>
        </w:rPr>
        <w:instrText xml:space="preserve"> </w:instrText>
      </w:r>
      <w:r w:rsidR="00EA3B99" w:rsidRPr="0044196C">
        <w:rPr>
          <w:color w:val="000000" w:themeColor="text1"/>
          <w:lang w:val="en-US"/>
        </w:rPr>
        <w:instrText>trial</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effect</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ramipril</w:instrText>
      </w:r>
      <w:r w:rsidR="00EA3B99" w:rsidRPr="0044196C">
        <w:rPr>
          <w:color w:val="000000" w:themeColor="text1"/>
        </w:rPr>
        <w:instrText xml:space="preserve"> </w:instrText>
      </w:r>
      <w:r w:rsidR="00EA3B99" w:rsidRPr="0044196C">
        <w:rPr>
          <w:color w:val="000000" w:themeColor="text1"/>
          <w:lang w:val="en-US"/>
        </w:rPr>
        <w:instrText>on</w:instrText>
      </w:r>
      <w:r w:rsidR="00EA3B99" w:rsidRPr="0044196C">
        <w:rPr>
          <w:color w:val="000000" w:themeColor="text1"/>
        </w:rPr>
        <w:instrText xml:space="preserve"> </w:instrText>
      </w:r>
      <w:r w:rsidR="00EA3B99" w:rsidRPr="0044196C">
        <w:rPr>
          <w:color w:val="000000" w:themeColor="text1"/>
          <w:lang w:val="en-US"/>
        </w:rPr>
        <w:instrText>decline</w:instrText>
      </w:r>
      <w:r w:rsidR="00EA3B99" w:rsidRPr="0044196C">
        <w:rPr>
          <w:color w:val="000000" w:themeColor="text1"/>
        </w:rPr>
        <w:instrText xml:space="preserve"> </w:instrText>
      </w:r>
      <w:r w:rsidR="00EA3B99" w:rsidRPr="0044196C">
        <w:rPr>
          <w:color w:val="000000" w:themeColor="text1"/>
          <w:lang w:val="en-US"/>
        </w:rPr>
        <w:instrText>in</w:instrText>
      </w:r>
      <w:r w:rsidR="00EA3B99" w:rsidRPr="0044196C">
        <w:rPr>
          <w:color w:val="000000" w:themeColor="text1"/>
        </w:rPr>
        <w:instrText xml:space="preserve"> </w:instrText>
      </w:r>
      <w:r w:rsidR="00EA3B99" w:rsidRPr="0044196C">
        <w:rPr>
          <w:color w:val="000000" w:themeColor="text1"/>
          <w:lang w:val="en-US"/>
        </w:rPr>
        <w:instrText>glomerular</w:instrText>
      </w:r>
      <w:r w:rsidR="00EA3B99" w:rsidRPr="0044196C">
        <w:rPr>
          <w:color w:val="000000" w:themeColor="text1"/>
        </w:rPr>
        <w:instrText xml:space="preserve"> </w:instrText>
      </w:r>
      <w:r w:rsidR="00EA3B99" w:rsidRPr="0044196C">
        <w:rPr>
          <w:color w:val="000000" w:themeColor="text1"/>
          <w:lang w:val="en-US"/>
        </w:rPr>
        <w:instrText>filtration</w:instrText>
      </w:r>
      <w:r w:rsidR="00EA3B99" w:rsidRPr="0044196C">
        <w:rPr>
          <w:color w:val="000000" w:themeColor="text1"/>
        </w:rPr>
        <w:instrText xml:space="preserve"> </w:instrText>
      </w:r>
      <w:r w:rsidR="00EA3B99" w:rsidRPr="0044196C">
        <w:rPr>
          <w:color w:val="000000" w:themeColor="text1"/>
          <w:lang w:val="en-US"/>
        </w:rPr>
        <w:instrText>rate</w:instrText>
      </w:r>
      <w:r w:rsidR="00EA3B99" w:rsidRPr="0044196C">
        <w:rPr>
          <w:color w:val="000000" w:themeColor="text1"/>
        </w:rPr>
        <w:instrText xml:space="preserve"> </w:instrText>
      </w:r>
      <w:r w:rsidR="00EA3B99" w:rsidRPr="0044196C">
        <w:rPr>
          <w:color w:val="000000" w:themeColor="text1"/>
          <w:lang w:val="en-US"/>
        </w:rPr>
        <w:instrText>and</w:instrText>
      </w:r>
      <w:r w:rsidR="00EA3B99" w:rsidRPr="0044196C">
        <w:rPr>
          <w:color w:val="000000" w:themeColor="text1"/>
        </w:rPr>
        <w:instrText xml:space="preserve"> </w:instrText>
      </w:r>
      <w:r w:rsidR="00EA3B99" w:rsidRPr="0044196C">
        <w:rPr>
          <w:color w:val="000000" w:themeColor="text1"/>
          <w:lang w:val="en-US"/>
        </w:rPr>
        <w:instrText>risk</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terminal</w:instrText>
      </w:r>
      <w:r w:rsidR="00EA3B99" w:rsidRPr="0044196C">
        <w:rPr>
          <w:color w:val="000000" w:themeColor="text1"/>
        </w:rPr>
        <w:instrText xml:space="preserve"> </w:instrText>
      </w:r>
      <w:r w:rsidR="00EA3B99" w:rsidRPr="0044196C">
        <w:rPr>
          <w:color w:val="000000" w:themeColor="text1"/>
          <w:lang w:val="en-US"/>
        </w:rPr>
        <w:instrText>renal</w:instrText>
      </w:r>
      <w:r w:rsidR="00EA3B99" w:rsidRPr="0044196C">
        <w:rPr>
          <w:color w:val="000000" w:themeColor="text1"/>
        </w:rPr>
        <w:instrText xml:space="preserve"> </w:instrText>
      </w:r>
      <w:r w:rsidR="00EA3B99" w:rsidRPr="0044196C">
        <w:rPr>
          <w:color w:val="000000" w:themeColor="text1"/>
          <w:lang w:val="en-US"/>
        </w:rPr>
        <w:instrText>failure</w:instrText>
      </w:r>
      <w:r w:rsidR="00EA3B99" w:rsidRPr="0044196C">
        <w:rPr>
          <w:color w:val="000000" w:themeColor="text1"/>
        </w:rPr>
        <w:instrText xml:space="preserve"> </w:instrText>
      </w:r>
      <w:r w:rsidR="00EA3B99" w:rsidRPr="0044196C">
        <w:rPr>
          <w:color w:val="000000" w:themeColor="text1"/>
          <w:lang w:val="en-US"/>
        </w:rPr>
        <w:instrText>in</w:instrText>
      </w:r>
      <w:r w:rsidR="00EA3B99" w:rsidRPr="0044196C">
        <w:rPr>
          <w:color w:val="000000" w:themeColor="text1"/>
        </w:rPr>
        <w:instrText xml:space="preserve"> </w:instrText>
      </w:r>
      <w:r w:rsidR="00EA3B99" w:rsidRPr="0044196C">
        <w:rPr>
          <w:color w:val="000000" w:themeColor="text1"/>
          <w:lang w:val="en-US"/>
        </w:rPr>
        <w:instrText>proteinuric</w:instrText>
      </w:r>
      <w:r w:rsidR="00EA3B99" w:rsidRPr="0044196C">
        <w:rPr>
          <w:color w:val="000000" w:themeColor="text1"/>
        </w:rPr>
        <w:instrText xml:space="preserve"> ,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diabetic</w:instrText>
      </w:r>
      <w:r w:rsidR="00EA3B99" w:rsidRPr="0044196C">
        <w:rPr>
          <w:color w:val="000000" w:themeColor="text1"/>
        </w:rPr>
        <w:instrText xml:space="preserve"> </w:instrText>
      </w:r>
      <w:r w:rsidR="00EA3B99" w:rsidRPr="0044196C">
        <w:rPr>
          <w:color w:val="000000" w:themeColor="text1"/>
          <w:lang w:val="en-US"/>
        </w:rPr>
        <w:instrText>nephropathy</w:instrText>
      </w:r>
      <w:r w:rsidR="00EA3B99" w:rsidRPr="0044196C">
        <w:rPr>
          <w:color w:val="000000" w:themeColor="text1"/>
        </w:rPr>
        <w:instrText>",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"349"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w:instrText>
      </w:r>
      <w:r w:rsidR="00EA3B99" w:rsidRPr="0044196C">
        <w:rPr>
          <w:color w:val="000000" w:themeColor="text1"/>
          <w:lang w:val="en-US"/>
        </w:rPr>
        <w:instrText>bbd</w:instrText>
      </w:r>
      <w:r w:rsidR="00EA3B99" w:rsidRPr="0044196C">
        <w:rPr>
          <w:color w:val="000000" w:themeColor="text1"/>
        </w:rPr>
        <w:instrText>5420</w:instrText>
      </w:r>
      <w:r w:rsidR="00EA3B99" w:rsidRPr="0044196C">
        <w:rPr>
          <w:color w:val="000000" w:themeColor="text1"/>
          <w:lang w:val="en-US"/>
        </w:rPr>
        <w:instrText>f</w:instrText>
      </w:r>
      <w:r w:rsidR="00EA3B99" w:rsidRPr="0044196C">
        <w:rPr>
          <w:color w:val="000000" w:themeColor="text1"/>
        </w:rPr>
        <w:instrText>-301</w:instrText>
      </w:r>
      <w:r w:rsidR="00EA3B99" w:rsidRPr="0044196C">
        <w:rPr>
          <w:color w:val="000000" w:themeColor="text1"/>
          <w:lang w:val="en-US"/>
        </w:rPr>
        <w:instrText>d</w:instrText>
      </w:r>
      <w:r w:rsidR="00EA3B99" w:rsidRPr="0044196C">
        <w:rPr>
          <w:color w:val="000000" w:themeColor="text1"/>
        </w:rPr>
        <w:instrText>-405</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bdb</w:instrText>
      </w:r>
      <w:r w:rsidR="00EA3B99" w:rsidRPr="0044196C">
        <w:rPr>
          <w:color w:val="000000" w:themeColor="text1"/>
        </w:rPr>
        <w:instrText>9-1</w:instrText>
      </w:r>
      <w:r w:rsidR="00EA3B99" w:rsidRPr="0044196C">
        <w:rPr>
          <w:color w:val="000000" w:themeColor="text1"/>
          <w:lang w:val="en-US"/>
        </w:rPr>
        <w:instrText>fd</w:instrText>
      </w:r>
      <w:r w:rsidR="00EA3B99" w:rsidRPr="0044196C">
        <w:rPr>
          <w:color w:val="000000" w:themeColor="text1"/>
        </w:rPr>
        <w:instrText>554419005" ] } ], "</w:instrText>
      </w:r>
      <w:r w:rsidR="00EA3B99" w:rsidRPr="0044196C">
        <w:rPr>
          <w:color w:val="000000" w:themeColor="text1"/>
          <w:lang w:val="en-US"/>
        </w:rPr>
        <w:instrText>mendeley</w:instrText>
      </w:r>
      <w:r w:rsidR="00EA3B99" w:rsidRPr="0044196C">
        <w:rPr>
          <w:color w:val="000000" w:themeColor="text1"/>
        </w:rPr>
        <w:instrText>" : { "</w:instrText>
      </w:r>
      <w:r w:rsidR="00EA3B99" w:rsidRPr="0044196C">
        <w:rPr>
          <w:color w:val="000000" w:themeColor="text1"/>
          <w:lang w:val="en-US"/>
        </w:rPr>
        <w:instrText>previouslyFormattedCitation</w:instrText>
      </w:r>
      <w:r w:rsidR="00EA3B99" w:rsidRPr="0044196C">
        <w:rPr>
          <w:color w:val="000000" w:themeColor="text1"/>
        </w:rPr>
        <w:instrText>" : "[</w:instrText>
      </w:r>
      <w:r w:rsidR="00EA3B99" w:rsidRPr="0044196C">
        <w:rPr>
          <w:color w:val="000000" w:themeColor="text1"/>
          <w:lang w:val="en-US"/>
        </w:rPr>
        <w:instrText>Gisen</w:instrText>
      </w:r>
      <w:r w:rsidR="00EA3B99" w:rsidRPr="0044196C">
        <w:rPr>
          <w:color w:val="000000" w:themeColor="text1"/>
        </w:rPr>
        <w:instrText xml:space="preserve">, </w:instrText>
      </w:r>
      <w:r w:rsidR="00EA3B99" w:rsidRPr="0044196C">
        <w:rPr>
          <w:color w:val="000000" w:themeColor="text1"/>
          <w:lang w:val="en-US"/>
        </w:rPr>
        <w:instrText>Gruppo</w:instrText>
      </w:r>
      <w:r w:rsidR="00EA3B99" w:rsidRPr="0044196C">
        <w:rPr>
          <w:color w:val="000000" w:themeColor="text1"/>
        </w:rPr>
        <w:instrText xml:space="preserve">, </w:instrText>
      </w:r>
      <w:r w:rsidR="00EA3B99" w:rsidRPr="0044196C">
        <w:rPr>
          <w:color w:val="000000" w:themeColor="text1"/>
          <w:lang w:val="en-US"/>
        </w:rPr>
        <w:instrText>Epidemiologici</w:instrText>
      </w:r>
      <w:r w:rsidR="00EA3B99" w:rsidRPr="0044196C">
        <w:rPr>
          <w:color w:val="000000" w:themeColor="text1"/>
        </w:rPr>
        <w:instrText>, 1997]" }, "</w:instrText>
      </w:r>
      <w:r w:rsidR="00EA3B99" w:rsidRPr="0044196C">
        <w:rPr>
          <w:color w:val="000000" w:themeColor="text1"/>
          <w:lang w:val="en-US"/>
        </w:rPr>
        <w:instrText>properties</w:instrText>
      </w:r>
      <w:r w:rsidR="00EA3B99" w:rsidRPr="0044196C">
        <w:rPr>
          <w:color w:val="000000" w:themeColor="text1"/>
        </w:rPr>
        <w:instrText>" : { "</w:instrText>
      </w:r>
      <w:r w:rsidR="00EA3B99" w:rsidRPr="0044196C">
        <w:rPr>
          <w:color w:val="000000" w:themeColor="text1"/>
          <w:lang w:val="en-US"/>
        </w:rPr>
        <w:instrText>noteIndex</w:instrText>
      </w:r>
      <w:r w:rsidR="00EA3B99" w:rsidRPr="0044196C">
        <w:rPr>
          <w:color w:val="000000" w:themeColor="text1"/>
        </w:rPr>
        <w:instrText>" : 0 }, "</w:instrText>
      </w:r>
      <w:r w:rsidR="00EA3B99" w:rsidRPr="0044196C">
        <w:rPr>
          <w:color w:val="000000" w:themeColor="text1"/>
          <w:lang w:val="en-US"/>
        </w:rPr>
        <w:instrText>schema</w:instrText>
      </w:r>
      <w:r w:rsidR="00EA3B99" w:rsidRPr="0044196C">
        <w:rPr>
          <w:color w:val="000000" w:themeColor="text1"/>
        </w:rPr>
        <w:instrText>" : "</w:instrText>
      </w:r>
      <w:r w:rsidR="00EA3B99" w:rsidRPr="0044196C">
        <w:rPr>
          <w:color w:val="000000" w:themeColor="text1"/>
          <w:lang w:val="en-US"/>
        </w:rPr>
        <w:instrText>https</w:instrText>
      </w:r>
      <w:r w:rsidR="00EA3B99" w:rsidRPr="0044196C">
        <w:rPr>
          <w:color w:val="000000" w:themeColor="text1"/>
        </w:rPr>
        <w:instrText>://</w:instrText>
      </w:r>
      <w:r w:rsidR="00EA3B99" w:rsidRPr="0044196C">
        <w:rPr>
          <w:color w:val="000000" w:themeColor="text1"/>
          <w:lang w:val="en-US"/>
        </w:rPr>
        <w:instrText>github</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style</w:instrText>
      </w:r>
      <w:r w:rsidR="00EA3B99" w:rsidRPr="0044196C">
        <w:rPr>
          <w:color w:val="000000" w:themeColor="text1"/>
        </w:rPr>
        <w:instrText>-</w:instrText>
      </w:r>
      <w:r w:rsidR="00EA3B99" w:rsidRPr="0044196C">
        <w:rPr>
          <w:color w:val="000000" w:themeColor="text1"/>
          <w:lang w:val="en-US"/>
        </w:rPr>
        <w:instrText>language</w:instrText>
      </w:r>
      <w:r w:rsidR="00EA3B99" w:rsidRPr="0044196C">
        <w:rPr>
          <w:color w:val="000000" w:themeColor="text1"/>
        </w:rPr>
        <w:instrText>/</w:instrText>
      </w:r>
      <w:r w:rsidR="00EA3B99" w:rsidRPr="0044196C">
        <w:rPr>
          <w:color w:val="000000" w:themeColor="text1"/>
          <w:lang w:val="en-US"/>
        </w:rPr>
        <w:instrText>schema</w:instrText>
      </w:r>
      <w:r w:rsidR="00EA3B99" w:rsidRPr="0044196C">
        <w:rPr>
          <w:color w:val="000000" w:themeColor="text1"/>
        </w:rPr>
        <w:instrText>/</w:instrText>
      </w:r>
      <w:r w:rsidR="00EA3B99" w:rsidRPr="0044196C">
        <w:rPr>
          <w:color w:val="000000" w:themeColor="text1"/>
          <w:lang w:val="en-US"/>
        </w:rPr>
        <w:instrText>raw</w:instrText>
      </w:r>
      <w:r w:rsidR="00EA3B99" w:rsidRPr="0044196C">
        <w:rPr>
          <w:color w:val="000000" w:themeColor="text1"/>
        </w:rPr>
        <w:instrText>/</w:instrText>
      </w:r>
      <w:r w:rsidR="00EA3B99" w:rsidRPr="0044196C">
        <w:rPr>
          <w:color w:val="000000" w:themeColor="text1"/>
          <w:lang w:val="en-US"/>
        </w:rPr>
        <w:instrText>master</w:instrText>
      </w:r>
      <w:r w:rsidR="00EA3B99" w:rsidRPr="0044196C">
        <w:rPr>
          <w:color w:val="000000" w:themeColor="text1"/>
        </w:rPr>
        <w:instrText>/</w:instrText>
      </w:r>
      <w:r w:rsidR="00EA3B99" w:rsidRPr="0044196C">
        <w:rPr>
          <w:color w:val="000000" w:themeColor="text1"/>
          <w:lang w:val="en-US"/>
        </w:rPr>
        <w:instrText>csl</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json</w:instrText>
      </w:r>
      <w:r w:rsidR="00EA3B99" w:rsidRPr="0044196C">
        <w:rPr>
          <w:color w:val="000000" w:themeColor="text1"/>
        </w:rPr>
        <w:instrText>" }</w:instrText>
      </w:r>
      <w:r w:rsidR="009D7C63" w:rsidRPr="0044196C">
        <w:rPr>
          <w:color w:val="000000" w:themeColor="text1"/>
          <w:lang w:val="en-US"/>
        </w:rPr>
        <w:fldChar w:fldCharType="separate"/>
      </w:r>
      <w:r w:rsidR="00EA3B99" w:rsidRPr="0044196C">
        <w:rPr>
          <w:noProof/>
          <w:color w:val="000000" w:themeColor="text1"/>
        </w:rPr>
        <w:t>[</w:t>
      </w:r>
      <w:r w:rsidR="00EA3B99" w:rsidRPr="0044196C">
        <w:rPr>
          <w:noProof/>
          <w:color w:val="000000" w:themeColor="text1"/>
          <w:lang w:val="en-US"/>
        </w:rPr>
        <w:t>Gisen</w:t>
      </w:r>
      <w:r w:rsidR="00EA3B99" w:rsidRPr="0044196C">
        <w:rPr>
          <w:noProof/>
          <w:color w:val="000000" w:themeColor="text1"/>
        </w:rPr>
        <w:t xml:space="preserve">, </w:t>
      </w:r>
      <w:r w:rsidR="00EA3B99" w:rsidRPr="0044196C">
        <w:rPr>
          <w:noProof/>
          <w:color w:val="000000" w:themeColor="text1"/>
          <w:lang w:val="en-US"/>
        </w:rPr>
        <w:t>Gruppo</w:t>
      </w:r>
      <w:r w:rsidR="00EA3B99" w:rsidRPr="0044196C">
        <w:rPr>
          <w:noProof/>
          <w:color w:val="000000" w:themeColor="text1"/>
        </w:rPr>
        <w:t xml:space="preserve">, </w:t>
      </w:r>
      <w:r w:rsidR="00EA3B99" w:rsidRPr="0044196C">
        <w:rPr>
          <w:noProof/>
          <w:color w:val="000000" w:themeColor="text1"/>
          <w:lang w:val="en-US"/>
        </w:rPr>
        <w:t>Epidemiologici</w:t>
      </w:r>
      <w:r w:rsidR="00EA3B99" w:rsidRPr="0044196C">
        <w:rPr>
          <w:noProof/>
          <w:color w:val="000000" w:themeColor="text1"/>
        </w:rPr>
        <w:t>, 1997]</w:t>
      </w:r>
      <w:r w:rsidR="009D7C63" w:rsidRPr="0044196C">
        <w:rPr>
          <w:color w:val="000000" w:themeColor="text1"/>
          <w:lang w:val="en-US"/>
        </w:rPr>
        <w:fldChar w:fldCharType="end"/>
      </w:r>
      <w:r w:rsidR="00265481" w:rsidRPr="0044196C">
        <w:rPr>
          <w:color w:val="000000" w:themeColor="text1"/>
        </w:rPr>
        <w:t xml:space="preserve">. </w:t>
      </w:r>
    </w:p>
    <w:p w:rsidR="00973E0E" w:rsidRPr="0044196C" w:rsidRDefault="00973E0E" w:rsidP="00FA1E09">
      <w:pPr>
        <w:tabs>
          <w:tab w:val="left" w:pos="3573"/>
        </w:tabs>
        <w:rPr>
          <w:rFonts w:cs="Times New Roman"/>
          <w:color w:val="000000" w:themeColor="text1"/>
        </w:rPr>
      </w:pPr>
      <w:r w:rsidRPr="0044196C">
        <w:rPr>
          <w:rFonts w:cs="Times New Roman"/>
          <w:color w:val="000000" w:themeColor="text1"/>
        </w:rPr>
        <w:t xml:space="preserve">Однако </w:t>
      </w:r>
      <w:r w:rsidR="00206AD0" w:rsidRPr="0044196C">
        <w:rPr>
          <w:rFonts w:cs="Times New Roman"/>
          <w:color w:val="000000" w:themeColor="text1"/>
        </w:rPr>
        <w:t>широкое применение агрессивной блокады</w:t>
      </w:r>
      <w:r w:rsidRPr="0044196C">
        <w:rPr>
          <w:rFonts w:cs="Times New Roman"/>
          <w:color w:val="000000" w:themeColor="text1"/>
        </w:rPr>
        <w:t xml:space="preserve"> РАС (см. комментарий к рекомендации </w:t>
      </w:r>
      <w:fldSimple w:instr=" REF _Ref280006331 \n \h  \* MERGEFORMAT ">
        <w:r w:rsidRPr="0044196C">
          <w:rPr>
            <w:rFonts w:cs="Times New Roman"/>
            <w:color w:val="000000" w:themeColor="text1"/>
          </w:rPr>
          <w:t>8.8</w:t>
        </w:r>
      </w:fldSimple>
      <w:r w:rsidRPr="0044196C">
        <w:rPr>
          <w:rFonts w:cs="Times New Roman"/>
          <w:color w:val="000000" w:themeColor="text1"/>
        </w:rPr>
        <w:t xml:space="preserve">) и «шаблонное» назначение данных препаратов всем пациентам с ХБП без учета их индивидуальных особенностей </w:t>
      </w:r>
      <w:r w:rsidR="00206AD0" w:rsidRPr="0044196C">
        <w:rPr>
          <w:rFonts w:cs="Times New Roman"/>
          <w:color w:val="000000" w:themeColor="text1"/>
        </w:rPr>
        <w:t>является неоправданным и ошибочным подходом.</w:t>
      </w:r>
      <w:r w:rsidRPr="0044196C">
        <w:rPr>
          <w:color w:val="000000" w:themeColor="text1"/>
        </w:rPr>
        <w:t>Важно учитывать</w:t>
      </w:r>
      <w:r w:rsidR="00480BE9" w:rsidRPr="0044196C">
        <w:rPr>
          <w:color w:val="000000" w:themeColor="text1"/>
        </w:rPr>
        <w:t xml:space="preserve">, что РАС при ХБП не только взаимодействует с механизмами гемодинамического и протеинурического повреждения почек, но ее гиперактивация играет определенную приспособительную роль, поддерживая внутриклубочковое давление, особенно в условиях гипоперфузии почек, например при застойной сердечной недостаточности, атеросклерозе почечных артерий. </w:t>
      </w:r>
    </w:p>
    <w:p w:rsidR="00FA1E09" w:rsidRPr="0044196C" w:rsidRDefault="00480BE9" w:rsidP="00480BE9">
      <w:pPr>
        <w:rPr>
          <w:color w:val="000000" w:themeColor="text1"/>
        </w:rPr>
      </w:pPr>
      <w:r w:rsidRPr="0044196C">
        <w:rPr>
          <w:color w:val="000000" w:themeColor="text1"/>
        </w:rPr>
        <w:t xml:space="preserve">Как нефропротективный потенциал, так и частота осложнений </w:t>
      </w:r>
      <w:r w:rsidR="006F76C9" w:rsidRPr="0044196C">
        <w:rPr>
          <w:color w:val="000000" w:themeColor="text1"/>
        </w:rPr>
        <w:t xml:space="preserve">при лечении </w:t>
      </w:r>
      <w:r w:rsidRPr="0044196C">
        <w:rPr>
          <w:color w:val="000000" w:themeColor="text1"/>
        </w:rPr>
        <w:t>препаратами, подавляющими РА</w:t>
      </w:r>
      <w:r w:rsidR="006F76C9" w:rsidRPr="0044196C">
        <w:rPr>
          <w:color w:val="000000" w:themeColor="text1"/>
        </w:rPr>
        <w:t>С, варьируют в широких пределах. Н</w:t>
      </w:r>
      <w:r w:rsidRPr="0044196C">
        <w:rPr>
          <w:color w:val="000000" w:themeColor="text1"/>
        </w:rPr>
        <w:t>а эффективность влия</w:t>
      </w:r>
      <w:r w:rsidR="006F76C9" w:rsidRPr="0044196C">
        <w:rPr>
          <w:color w:val="000000" w:themeColor="text1"/>
        </w:rPr>
        <w:t>е</w:t>
      </w:r>
      <w:r w:rsidRPr="0044196C">
        <w:rPr>
          <w:color w:val="000000" w:themeColor="text1"/>
        </w:rPr>
        <w:t xml:space="preserve">т исходный уровень альбуминурии/протеинурии </w:t>
      </w:r>
      <w:r w:rsidR="009D7C63" w:rsidRPr="0044196C">
        <w:rPr>
          <w:color w:val="000000" w:themeColor="text1"/>
        </w:rPr>
        <w:fldChar w:fldCharType="begin" w:fldLock="1"/>
      </w:r>
      <w:r w:rsidR="00EA3B99" w:rsidRPr="0044196C">
        <w:rPr>
          <w:color w:val="000000" w:themeColor="text1"/>
        </w:rPr>
        <w:instrText>ADDIN CSL_CITATION { "citationItems" : [ { "id" : "ITEM-1", "itemData" : { "ISSN" : "0098-6577", "PMID" : "9407422", "abstract" : "We correlated baseline parameters with glomerular filtration rate (GFR) decline and kidney survival in 274 patients with proteinuric non-diabetic chronic nephropathies (creatinine clearance 20 to 70 ml/min/1.73 m2 and proteinuria &gt; 1 g/24 hr over the last three months) enrolled in the Ramipril Efficacy In Nephropathy (REIN) trial. The GFR, evaluated at baseline, one, three and six months after randomization then every six months, declined linearly by 0.52 +/- 0.83 ml/min/1.73 m2/month (mean +/- SD) over a follow-up (median: range) of 21:3 to 52 months, and kidney survival was 64%. In multivariate analysis, higher baseline proteinuria (P = 0.006), and lower GFR (P = 0.0001) and creatinine clearance (P = 0.0001) correlated with a faster GFR decline. Higher proteinuria was the only baseline predictor of a shorter kidney survival (P = 0.0007) and its predictive value was independent of the underlying renal disease, treatment randomization, and blood pressure control during the followup. Patients in the lowest tertile of baseline proteinuria (&lt; 2.5 g/24 hr) had the slowest rate of GFR decline (-0.25 +/- 0.72 ml/min/1.73 m2/month) and the highest kidney survival (94%), compared with patients in the middle tertile (proteinuria 2.5 to 4.3 g/24 hr; delta GFR, -0.59 +/- 0.82 ml/min/1.73 m2/month, P = 0.008; kidney survival 57%, P = 0.0011) and in the highest tertile (proteinuria &gt; 4.3 g/24 hr; delta GFR, -0.79 +/- 0.87 ml/min/1.73 m2/month, P = 0.0001, kidney survival 44%, P = 0.0001). Kidney survival significantly differed even between the middle and highest tertiles (P &lt; 0.05). Thus, in non-diabetic chronic nephropathies proteinuria is an independent and accurate predictor of disease progression and ESRF.", "author" : [ { "dropping-particle" : "", "family" : "Ruggenenti", "given" : "P", "non-dropping-particle" : "", "parse-names" : false, "suffix" : "" }, { "dropping-particle" : "", "family" : "Perna", "given" : "A", "non-dropping-particle" : "", "parse-names" : false, "suffix" : "" }, { "dropping-particle" : "", "family" : "Mosconi", "given" : "L", "non-dropping-particle" : "", "parse-names" : false, "suffix" : "" }, { "dropping-particle" : "", "family" : "Matalone", "given" : "M", "non-dropping-particle" : "", "parse-names" : false, "suffix" : "" }, { "dropping-particle" : "", "family" : "Pisoni", "given" : "R", "non-dropping-particle" : "", "parse-names" : false, "suffix" : "" }, { "dropping-particle" : "", "family" : "Gaspari", "given" : "F", "non-dropping-particle" : "", "parse-names" : false, "suffix" : "" }, { "dropping-particle" : "", "family" : "Remuzzi", "given" : "G", "non-dropping-particle" : "", "parse-names" : false, "suffix" : "" } ], "container-title" : "Kidney international. Supplement", "id" : "ITEM-1", "issued" : { "date-parts" : [ [ "1997", "12" ] ] }, "page" : "S54-7", "title" : "Proteinuria predicts end-stage renal failure in non-diabetic chronic nephropathies. The \"Gruppo Italiano di Studi Epidemiologici in Nefrologia\" (GISEN).", "type" : "article-journal", "volume" : "63" }, "uris" : [ "http://www.mendeley.com/documents/?uuid=52ee6f30-277c-432b-89aa-44515a008204" ] } ], "mendeley" : { "previouslyFormattedCitation" : "[Ruggenenti \u0438 \u0434\u0440., 1997]"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[Ruggenenti и др., 1997]</w:t>
      </w:r>
      <w:r w:rsidR="009D7C63" w:rsidRPr="0044196C">
        <w:rPr>
          <w:color w:val="000000" w:themeColor="text1"/>
        </w:rPr>
        <w:fldChar w:fldCharType="end"/>
      </w:r>
      <w:r w:rsidRPr="0044196C">
        <w:rPr>
          <w:color w:val="000000" w:themeColor="text1"/>
        </w:rPr>
        <w:t xml:space="preserve">, </w:t>
      </w:r>
      <w:r w:rsidRPr="0044196C">
        <w:rPr>
          <w:color w:val="000000" w:themeColor="text1"/>
        </w:rPr>
        <w:lastRenderedPageBreak/>
        <w:t>генетические особенности, в частности полиморфизм гена ангиотензинпревращающего фермента</w:t>
      </w:r>
      <w:r w:rsidR="006F76C9" w:rsidRPr="0044196C">
        <w:rPr>
          <w:color w:val="000000" w:themeColor="text1"/>
        </w:rPr>
        <w:t xml:space="preserve"> (АПФ)</w:t>
      </w:r>
      <w:r w:rsidR="00D77736" w:rsidRPr="0044196C">
        <w:rPr>
          <w:color w:val="000000" w:themeColor="text1"/>
        </w:rPr>
        <w:t xml:space="preserve"> </w:t>
      </w:r>
      <w:r w:rsidR="009D7C63" w:rsidRPr="0044196C">
        <w:rPr>
          <w:color w:val="000000" w:themeColor="text1"/>
        </w:rPr>
        <w:fldChar w:fldCharType="begin" w:fldLock="1"/>
      </w:r>
      <w:r w:rsidR="00EA3B99" w:rsidRPr="0044196C">
        <w:rPr>
          <w:color w:val="000000" w:themeColor="text1"/>
        </w:rPr>
        <w:instrText>ADDIN CSL_CITATION { "citationItems" : [ { "id" : "ITEM-1", "itemData" : { "ISSN" : "0098-6577", "PMID" : "10828759", "abstract" : "Reduction of proteinuria is a prerequisite for successful long-term renoprotection. To investigate whether individual patient factors are determinants of antiproteinuric efficacy, we analyzed individual responses to different modes of antiproteinuric intervention in nondiabetic and diabetic patients, obtained in prior studies comparing the efficacy of various pharmacological regimens. The individual antiproteinuric response to angiotensin-converting enzyme (ACE) inhibition positively correlated to the response to angiotensin type I (AT1) receptor blockade in diabetic (r = 0.67, P &lt; 0.01, N = 16) as well as nondiabetic patients (r = 0.75, P &lt; 0.01, N = 12). This corresponded to the correlations for antihypertensive efficacy between ACE inhibition and AT1 receptor blockade in diabetic (r = 0.73, P &lt; 0.001) as well as nondiabetic patients (r = 0.55, P &lt; 0.05). Remarkably, the antiproteinuric response to ACE inhibition also correlated positively to the antiproteinuric response to indomethacin (r = 0.63, P &lt; 0.05, N = 9). Thus, patients responding favorably to one class of antiproteinuric drugs also respond favorably to other classes of available drugs, supporting a main role for individual patient factors in responsiveness or resistance to antiproteinuric intervention. In the search for strategies to improve response in these high risk patients, combination-treatment (combining different drugs, and combining drugs with dietary measures like sodium and protein restriction), and the use of higher doses may provide more fruitful strategies to optimize renoprotection than shifting to other classes of the available drugs.", "author" : [ { "dropping-particle" : "", "family" : "Bos", "given" : "H", "non-dropping-particle" : "", "parse-names" : false, "suffix" : "" }, { "dropping-particle" : "", "family" : "Andersen", "given" : "S", "non-dropping-particle" : "", "parse-names" : false, "suffix" : "" }, { "dropping-particle" : "", "family" : "Rossing", "given" : "P", "non-dropping-particle" : "", "parse-names" : false, "suffix" : "" }, { "dropping-particle" : "", "family" : "Zeeuw", "given" : "D", "non-dropping-particle" : "De", "parse-names" : false, "suffix" : "" }, { "dropping-particle" : "", "family" : "Parving", "given" : "H H", "non-dropping-particle" : "", "parse-names" : false, "suffix" : "" }, { "dropping-particle" : "", "family" : "Jong", "given" : "P E", "non-dropping-particle" : "De", "parse-names" : false, "suffix" : "" }, { "dropping-particle" : "", "family" : "Navis", "given" : "G", "non-dropping-particle" : "", "parse-names" : false, "suffix" : "" } ], "container-title" : "Kidney international. Supplement", "id" : "ITEM-1", "issued" : { "date-parts" : [ [ "2000", "4" ] ] }, "page" : "S32-7", "title" : "Role of patient factors in therapy resistance to antiproteinuric intervention in nondiabetic and diabetic nephropathy.", "type" : "article-journal", "volume" : "75" }, "uris" : [ "http://www.mendeley.com/documents/?uuid=44bfea3e-cf3d-4f88-b030-670d6ed8ffc0" ] }, { "id" : "ITEM-2", "itemData" : { "author" : [ { "dropping-particle" : "", "family" : "Perna", "given" : "Annalisa", "non-dropping-particle" : "", "parse-names" : false, "suffix" : "" }, { "dropping-particle" : "", "family" : "Ruggenenti", "given" : "Piero", "non-dropping-particle" : "", "parse-names" : false, "suffix" : "" }, { "dropping-particle" : "", "family" : "Testa", "given" : "Alessandra", "non-dropping-particle" : "", "parse-names" : false, "suffix" : "" }, { "dropping-particle" : "", "family" : "Spoto", "given" : "Belinda", "non-dropping-particle" : "", "parse-names" : false, "suffix" : "" }, { "dropping-particle" : "", "family" : "Benini", "given" : "Roberto", "non-dropping-particle" : "", "parse-names" : false, "suffix" : "" }, { "dropping-particle" : "", "family" : "Misefari", "given" : "Valerio", "non-dropping-particle" : "", "parse-names" : false, "suffix" : "" }, { "dropping-particle" : "", "family" : "Remuzzi", "given" : "Giuseppe", "non-dropping-particle" : "", "parse-names" : false, "suffix" : "" }, { "dropping-particle" : "", "family" : "Zoccali", "given" : "Carmine", "non-dropping-particle" : "", "parse-names" : false, "suffix" : "" } ], "container-title" : "Kidney international", "id" : "ITEM-2", "issued" : { "date-parts" : [ [ "2000" ] ] }, "page" : "274-281", "title" : "ACE genotype and ACE inhibitors induced renoprotection in chronic proteinuric nephropathies", "type" : "article-journal", "volume" : "57" }, "uris" : [ "http://www.mendeley.com/documents/?uuid=dedb7442-b94b-4a12-ab61-4128cb0b23b1" ] } ], "mendeley" : { "previouslyFormattedCitation" : "[Bos \u0438 \u0434\u0440., 2000; Perna \u0438 \u0434\u0440., 2000]"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[Bos и др., 2000; Perna и др., 2000]</w:t>
      </w:r>
      <w:r w:rsidR="009D7C63" w:rsidRPr="0044196C">
        <w:rPr>
          <w:color w:val="000000" w:themeColor="text1"/>
        </w:rPr>
        <w:fldChar w:fldCharType="end"/>
      </w:r>
      <w:r w:rsidR="006F76C9" w:rsidRPr="0044196C">
        <w:rPr>
          <w:color w:val="000000" w:themeColor="text1"/>
        </w:rPr>
        <w:t xml:space="preserve">: наиболее отчетливое благоприятное влияние терапии на </w:t>
      </w:r>
      <w:r w:rsidR="00D26AC3" w:rsidRPr="0044196C">
        <w:rPr>
          <w:color w:val="000000" w:themeColor="text1"/>
        </w:rPr>
        <w:t>почечные исходы</w:t>
      </w:r>
      <w:r w:rsidR="006F76C9" w:rsidRPr="0044196C">
        <w:rPr>
          <w:color w:val="000000" w:themeColor="text1"/>
        </w:rPr>
        <w:t xml:space="preserve"> отмечается в самых прогностически неблагоприятных группах – у больных с исходно более высокой протеинурией и </w:t>
      </w:r>
      <w:r w:rsidR="006F76C9" w:rsidRPr="0044196C">
        <w:rPr>
          <w:color w:val="000000" w:themeColor="text1"/>
          <w:lang w:val="en-US"/>
        </w:rPr>
        <w:t>DD</w:t>
      </w:r>
      <w:r w:rsidR="006F76C9" w:rsidRPr="0044196C">
        <w:rPr>
          <w:color w:val="000000" w:themeColor="text1"/>
        </w:rPr>
        <w:t>-вариантом полиморфизма гена АПФ.</w:t>
      </w:r>
    </w:p>
    <w:p w:rsidR="006F76C9" w:rsidRPr="0044196C" w:rsidRDefault="00480BE9" w:rsidP="00480BE9">
      <w:pPr>
        <w:rPr>
          <w:color w:val="000000" w:themeColor="text1"/>
        </w:rPr>
      </w:pPr>
      <w:r w:rsidRPr="0044196C">
        <w:rPr>
          <w:color w:val="000000" w:themeColor="text1"/>
        </w:rPr>
        <w:t>Большое значение имеет раннее назначение препаратов, подавляющих РАС: хотя они не теряют способности оказывать антипротеинурическое и нефропротективное действие на поздних стадиях заболевания, однако решающую роль играет продолжительность их приема</w:t>
      </w:r>
      <w:r w:rsidR="00206AD0" w:rsidRPr="0044196C">
        <w:rPr>
          <w:color w:val="000000" w:themeColor="text1"/>
        </w:rPr>
        <w:t xml:space="preserve"> – </w:t>
      </w:r>
      <w:r w:rsidRPr="0044196C">
        <w:rPr>
          <w:color w:val="000000" w:themeColor="text1"/>
        </w:rPr>
        <w:t xml:space="preserve">по мере </w:t>
      </w:r>
      <w:r w:rsidR="00206AD0" w:rsidRPr="0044196C">
        <w:rPr>
          <w:color w:val="000000" w:themeColor="text1"/>
        </w:rPr>
        <w:t>увеличения длительности терапии</w:t>
      </w:r>
      <w:r w:rsidRPr="0044196C">
        <w:rPr>
          <w:color w:val="000000" w:themeColor="text1"/>
        </w:rPr>
        <w:t xml:space="preserve"> положительные почечные эффекты данных средств нарастают при использовании тех же доз </w:t>
      </w:r>
      <w:r w:rsidR="009D7C63" w:rsidRPr="0044196C">
        <w:rPr>
          <w:color w:val="000000" w:themeColor="text1"/>
        </w:rPr>
        <w:fldChar w:fldCharType="begin" w:fldLock="1"/>
      </w:r>
      <w:r w:rsidR="00EA3B99" w:rsidRPr="0044196C">
        <w:rPr>
          <w:color w:val="000000" w:themeColor="text1"/>
        </w:rPr>
        <w:instrText>ADDIN CSL_CITATION { "citationItems" : [ { "id" : "ITEM-1", "itemData" : { "author" : [ { "dropping-particle" : "", "family" : "Ruggenenti", "given" : "Piero", "non-dropping-particle" : "", "parse-names" : false, "suffix" : "" }, { "dropping-particle" : "", "family" : "Perna", "given" : "Annalisa", "non-dropping-particle" : "", "parse-names" : false, "suffix" : "" }, { "dropping-particle" : "", "family" : "Remuzzi", "given" : "Giuseppe", "non-dropping-particle" : "", "parse-names" : false, "suffix" : "" }, { "dropping-particle" : "", "family" : "Dacco", "given" : "Cele", "non-dropping-particle" : "", "parse-names" : false, "suffix" : "" } ], "id" : "ITEM-1", "issued" : { "date-parts" : [ [ "2001" ] ] }, "page" : "2832-2837", "title" : "ACE Inhibitors to Prevent End-Stage Renal Disease : When to Start and Why Possibly Never to Stop : A Post Hoc Analysis of the REIN Trial Results", "type" : "article-journal" }, "uris" : [ "http://www.mendeley.com/documents/?uuid=703ee23f-4f29-4eff-89b6-bad639ec8f69" ] } ], "mendeley" : { "previouslyFormattedCitation" : "[Ruggenenti \u0438 \u0434\u0440., 2001]"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[Ruggenenti и др., 2001]</w:t>
      </w:r>
      <w:r w:rsidR="009D7C63" w:rsidRPr="0044196C">
        <w:rPr>
          <w:color w:val="000000" w:themeColor="text1"/>
        </w:rPr>
        <w:fldChar w:fldCharType="end"/>
      </w:r>
      <w:r w:rsidRPr="0044196C">
        <w:rPr>
          <w:color w:val="000000" w:themeColor="text1"/>
        </w:rPr>
        <w:t xml:space="preserve">. </w:t>
      </w:r>
    </w:p>
    <w:p w:rsidR="006F76C9" w:rsidRPr="0044196C" w:rsidRDefault="006F76C9" w:rsidP="00AE1472">
      <w:pPr>
        <w:rPr>
          <w:color w:val="000000" w:themeColor="text1"/>
        </w:rPr>
      </w:pPr>
      <w:r w:rsidRPr="0044196C">
        <w:rPr>
          <w:color w:val="000000" w:themeColor="text1"/>
        </w:rPr>
        <w:t xml:space="preserve">К сожалению, ранние предикторы, позволяющие предсказывать хороший нефропротективный эффект препаратов, подавляющих РАС, до настоящего времени не разработаны. </w:t>
      </w:r>
      <w:r w:rsidR="00CE2D37" w:rsidRPr="0044196C">
        <w:rPr>
          <w:color w:val="000000" w:themeColor="text1"/>
        </w:rPr>
        <w:t xml:space="preserve">По данным РКИ </w:t>
      </w:r>
      <w:r w:rsidR="009D7C63" w:rsidRPr="0044196C">
        <w:rPr>
          <w:color w:val="000000" w:themeColor="text1"/>
          <w:lang w:val="en-US"/>
        </w:rPr>
        <w:fldChar w:fldCharType="begin" w:fldLock="1"/>
      </w:r>
      <w:r w:rsidR="00EA3B99" w:rsidRPr="0044196C">
        <w:rPr>
          <w:color w:val="000000" w:themeColor="text1"/>
          <w:lang w:val="en-US"/>
        </w:rPr>
        <w:instrText>ADDIN</w:instrText>
      </w:r>
      <w:r w:rsidR="00EA3B99" w:rsidRPr="0044196C">
        <w:rPr>
          <w:color w:val="000000" w:themeColor="text1"/>
        </w:rPr>
        <w:instrText xml:space="preserve"> </w:instrText>
      </w:r>
      <w:r w:rsidR="00EA3B99" w:rsidRPr="0044196C">
        <w:rPr>
          <w:color w:val="000000" w:themeColor="text1"/>
          <w:lang w:val="en-US"/>
        </w:rPr>
        <w:instrText>CSL</w:instrText>
      </w:r>
      <w:r w:rsidR="00EA3B99" w:rsidRPr="0044196C">
        <w:rPr>
          <w:color w:val="000000" w:themeColor="text1"/>
        </w:rPr>
        <w:instrText>_</w:instrText>
      </w:r>
      <w:r w:rsidR="00EA3B99" w:rsidRPr="0044196C">
        <w:rPr>
          <w:color w:val="000000" w:themeColor="text1"/>
          <w:lang w:val="en-US"/>
        </w:rPr>
        <w:instrText>CITATION</w:instrText>
      </w:r>
      <w:r w:rsidR="00EA3B99" w:rsidRPr="0044196C">
        <w:rPr>
          <w:color w:val="000000" w:themeColor="text1"/>
        </w:rPr>
        <w:instrText xml:space="preserve"> { "</w:instrText>
      </w:r>
      <w:r w:rsidR="00EA3B99" w:rsidRPr="0044196C">
        <w:rPr>
          <w:color w:val="000000" w:themeColor="text1"/>
          <w:lang w:val="en-US"/>
        </w:rPr>
        <w:instrText>citationItems</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Gisen</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The</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Gruppo</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Group</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Epidemiologici</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Studi</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"1997" ] ] }, "</w:instrText>
      </w:r>
      <w:r w:rsidR="00EA3B99" w:rsidRPr="0044196C">
        <w:rPr>
          <w:color w:val="000000" w:themeColor="text1"/>
          <w:lang w:val="en-US"/>
        </w:rPr>
        <w:instrText>page</w:instrText>
      </w:r>
      <w:r w:rsidR="00EA3B99" w:rsidRPr="0044196C">
        <w:rPr>
          <w:color w:val="000000" w:themeColor="text1"/>
        </w:rPr>
        <w:instrText>" : "1857-1863",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Randomised</w:instrText>
      </w:r>
      <w:r w:rsidR="00EA3B99" w:rsidRPr="0044196C">
        <w:rPr>
          <w:color w:val="000000" w:themeColor="text1"/>
        </w:rPr>
        <w:instrText xml:space="preserve"> </w:instrText>
      </w:r>
      <w:r w:rsidR="00EA3B99" w:rsidRPr="0044196C">
        <w:rPr>
          <w:color w:val="000000" w:themeColor="text1"/>
          <w:lang w:val="en-US"/>
        </w:rPr>
        <w:instrText>placebo</w:instrText>
      </w:r>
      <w:r w:rsidR="00EA3B99" w:rsidRPr="0044196C">
        <w:rPr>
          <w:color w:val="000000" w:themeColor="text1"/>
        </w:rPr>
        <w:instrText>-</w:instrText>
      </w:r>
      <w:r w:rsidR="00EA3B99" w:rsidRPr="0044196C">
        <w:rPr>
          <w:color w:val="000000" w:themeColor="text1"/>
          <w:lang w:val="en-US"/>
        </w:rPr>
        <w:instrText>controlled</w:instrText>
      </w:r>
      <w:r w:rsidR="00EA3B99" w:rsidRPr="0044196C">
        <w:rPr>
          <w:color w:val="000000" w:themeColor="text1"/>
        </w:rPr>
        <w:instrText xml:space="preserve"> </w:instrText>
      </w:r>
      <w:r w:rsidR="00EA3B99" w:rsidRPr="0044196C">
        <w:rPr>
          <w:color w:val="000000" w:themeColor="text1"/>
          <w:lang w:val="en-US"/>
        </w:rPr>
        <w:instrText>trial</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effect</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ramipril</w:instrText>
      </w:r>
      <w:r w:rsidR="00EA3B99" w:rsidRPr="0044196C">
        <w:rPr>
          <w:color w:val="000000" w:themeColor="text1"/>
        </w:rPr>
        <w:instrText xml:space="preserve"> </w:instrText>
      </w:r>
      <w:r w:rsidR="00EA3B99" w:rsidRPr="0044196C">
        <w:rPr>
          <w:color w:val="000000" w:themeColor="text1"/>
          <w:lang w:val="en-US"/>
        </w:rPr>
        <w:instrText>on</w:instrText>
      </w:r>
      <w:r w:rsidR="00EA3B99" w:rsidRPr="0044196C">
        <w:rPr>
          <w:color w:val="000000" w:themeColor="text1"/>
        </w:rPr>
        <w:instrText xml:space="preserve"> </w:instrText>
      </w:r>
      <w:r w:rsidR="00EA3B99" w:rsidRPr="0044196C">
        <w:rPr>
          <w:color w:val="000000" w:themeColor="text1"/>
          <w:lang w:val="en-US"/>
        </w:rPr>
        <w:instrText>decline</w:instrText>
      </w:r>
      <w:r w:rsidR="00EA3B99" w:rsidRPr="0044196C">
        <w:rPr>
          <w:color w:val="000000" w:themeColor="text1"/>
        </w:rPr>
        <w:instrText xml:space="preserve"> </w:instrText>
      </w:r>
      <w:r w:rsidR="00EA3B99" w:rsidRPr="0044196C">
        <w:rPr>
          <w:color w:val="000000" w:themeColor="text1"/>
          <w:lang w:val="en-US"/>
        </w:rPr>
        <w:instrText>in</w:instrText>
      </w:r>
      <w:r w:rsidR="00EA3B99" w:rsidRPr="0044196C">
        <w:rPr>
          <w:color w:val="000000" w:themeColor="text1"/>
        </w:rPr>
        <w:instrText xml:space="preserve"> </w:instrText>
      </w:r>
      <w:r w:rsidR="00EA3B99" w:rsidRPr="0044196C">
        <w:rPr>
          <w:color w:val="000000" w:themeColor="text1"/>
          <w:lang w:val="en-US"/>
        </w:rPr>
        <w:instrText>glomerular</w:instrText>
      </w:r>
      <w:r w:rsidR="00EA3B99" w:rsidRPr="0044196C">
        <w:rPr>
          <w:color w:val="000000" w:themeColor="text1"/>
        </w:rPr>
        <w:instrText xml:space="preserve"> </w:instrText>
      </w:r>
      <w:r w:rsidR="00EA3B99" w:rsidRPr="0044196C">
        <w:rPr>
          <w:color w:val="000000" w:themeColor="text1"/>
          <w:lang w:val="en-US"/>
        </w:rPr>
        <w:instrText>filtration</w:instrText>
      </w:r>
      <w:r w:rsidR="00EA3B99" w:rsidRPr="0044196C">
        <w:rPr>
          <w:color w:val="000000" w:themeColor="text1"/>
        </w:rPr>
        <w:instrText xml:space="preserve"> </w:instrText>
      </w:r>
      <w:r w:rsidR="00EA3B99" w:rsidRPr="0044196C">
        <w:rPr>
          <w:color w:val="000000" w:themeColor="text1"/>
          <w:lang w:val="en-US"/>
        </w:rPr>
        <w:instrText>rate</w:instrText>
      </w:r>
      <w:r w:rsidR="00EA3B99" w:rsidRPr="0044196C">
        <w:rPr>
          <w:color w:val="000000" w:themeColor="text1"/>
        </w:rPr>
        <w:instrText xml:space="preserve"> </w:instrText>
      </w:r>
      <w:r w:rsidR="00EA3B99" w:rsidRPr="0044196C">
        <w:rPr>
          <w:color w:val="000000" w:themeColor="text1"/>
          <w:lang w:val="en-US"/>
        </w:rPr>
        <w:instrText>and</w:instrText>
      </w:r>
      <w:r w:rsidR="00EA3B99" w:rsidRPr="0044196C">
        <w:rPr>
          <w:color w:val="000000" w:themeColor="text1"/>
        </w:rPr>
        <w:instrText xml:space="preserve"> </w:instrText>
      </w:r>
      <w:r w:rsidR="00EA3B99" w:rsidRPr="0044196C">
        <w:rPr>
          <w:color w:val="000000" w:themeColor="text1"/>
          <w:lang w:val="en-US"/>
        </w:rPr>
        <w:instrText>risk</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terminal</w:instrText>
      </w:r>
      <w:r w:rsidR="00EA3B99" w:rsidRPr="0044196C">
        <w:rPr>
          <w:color w:val="000000" w:themeColor="text1"/>
        </w:rPr>
        <w:instrText xml:space="preserve"> </w:instrText>
      </w:r>
      <w:r w:rsidR="00EA3B99" w:rsidRPr="0044196C">
        <w:rPr>
          <w:color w:val="000000" w:themeColor="text1"/>
          <w:lang w:val="en-US"/>
        </w:rPr>
        <w:instrText>renal</w:instrText>
      </w:r>
      <w:r w:rsidR="00EA3B99" w:rsidRPr="0044196C">
        <w:rPr>
          <w:color w:val="000000" w:themeColor="text1"/>
        </w:rPr>
        <w:instrText xml:space="preserve"> </w:instrText>
      </w:r>
      <w:r w:rsidR="00EA3B99" w:rsidRPr="0044196C">
        <w:rPr>
          <w:color w:val="000000" w:themeColor="text1"/>
          <w:lang w:val="en-US"/>
        </w:rPr>
        <w:instrText>failure</w:instrText>
      </w:r>
      <w:r w:rsidR="00EA3B99" w:rsidRPr="0044196C">
        <w:rPr>
          <w:color w:val="000000" w:themeColor="text1"/>
        </w:rPr>
        <w:instrText xml:space="preserve"> </w:instrText>
      </w:r>
      <w:r w:rsidR="00EA3B99" w:rsidRPr="0044196C">
        <w:rPr>
          <w:color w:val="000000" w:themeColor="text1"/>
          <w:lang w:val="en-US"/>
        </w:rPr>
        <w:instrText>in</w:instrText>
      </w:r>
      <w:r w:rsidR="00EA3B99" w:rsidRPr="0044196C">
        <w:rPr>
          <w:color w:val="000000" w:themeColor="text1"/>
        </w:rPr>
        <w:instrText xml:space="preserve"> </w:instrText>
      </w:r>
      <w:r w:rsidR="00EA3B99" w:rsidRPr="0044196C">
        <w:rPr>
          <w:color w:val="000000" w:themeColor="text1"/>
          <w:lang w:val="en-US"/>
        </w:rPr>
        <w:instrText>proteinuric</w:instrText>
      </w:r>
      <w:r w:rsidR="00EA3B99" w:rsidRPr="0044196C">
        <w:rPr>
          <w:color w:val="000000" w:themeColor="text1"/>
        </w:rPr>
        <w:instrText xml:space="preserve"> ,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diabetic</w:instrText>
      </w:r>
      <w:r w:rsidR="00EA3B99" w:rsidRPr="0044196C">
        <w:rPr>
          <w:color w:val="000000" w:themeColor="text1"/>
        </w:rPr>
        <w:instrText xml:space="preserve"> </w:instrText>
      </w:r>
      <w:r w:rsidR="00EA3B99" w:rsidRPr="0044196C">
        <w:rPr>
          <w:color w:val="000000" w:themeColor="text1"/>
          <w:lang w:val="en-US"/>
        </w:rPr>
        <w:instrText>nephropathy</w:instrText>
      </w:r>
      <w:r w:rsidR="00EA3B99" w:rsidRPr="0044196C">
        <w:rPr>
          <w:color w:val="000000" w:themeColor="text1"/>
        </w:rPr>
        <w:instrText>",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"349"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w:instrText>
      </w:r>
      <w:r w:rsidR="00EA3B99" w:rsidRPr="0044196C">
        <w:rPr>
          <w:color w:val="000000" w:themeColor="text1"/>
          <w:lang w:val="en-US"/>
        </w:rPr>
        <w:instrText>bbd</w:instrText>
      </w:r>
      <w:r w:rsidR="00EA3B99" w:rsidRPr="0044196C">
        <w:rPr>
          <w:color w:val="000000" w:themeColor="text1"/>
        </w:rPr>
        <w:instrText>5420</w:instrText>
      </w:r>
      <w:r w:rsidR="00EA3B99" w:rsidRPr="0044196C">
        <w:rPr>
          <w:color w:val="000000" w:themeColor="text1"/>
          <w:lang w:val="en-US"/>
        </w:rPr>
        <w:instrText>f</w:instrText>
      </w:r>
      <w:r w:rsidR="00EA3B99" w:rsidRPr="0044196C">
        <w:rPr>
          <w:color w:val="000000" w:themeColor="text1"/>
        </w:rPr>
        <w:instrText>-301</w:instrText>
      </w:r>
      <w:r w:rsidR="00EA3B99" w:rsidRPr="0044196C">
        <w:rPr>
          <w:color w:val="000000" w:themeColor="text1"/>
          <w:lang w:val="en-US"/>
        </w:rPr>
        <w:instrText>d</w:instrText>
      </w:r>
      <w:r w:rsidR="00EA3B99" w:rsidRPr="0044196C">
        <w:rPr>
          <w:color w:val="000000" w:themeColor="text1"/>
        </w:rPr>
        <w:instrText>-405</w:instrText>
      </w:r>
      <w:r w:rsidR="00EA3B99" w:rsidRPr="0044196C">
        <w:rPr>
          <w:color w:val="000000" w:themeColor="text1"/>
          <w:lang w:val="en-US"/>
        </w:rPr>
        <w:instrText>a</w:instrText>
      </w:r>
      <w:r w:rsidR="00EA3B99" w:rsidRPr="0044196C">
        <w:rPr>
          <w:color w:val="000000" w:themeColor="text1"/>
        </w:rPr>
        <w:instrText>-</w:instrText>
      </w:r>
      <w:r w:rsidR="00EA3B99" w:rsidRPr="0044196C">
        <w:rPr>
          <w:color w:val="000000" w:themeColor="text1"/>
          <w:lang w:val="en-US"/>
        </w:rPr>
        <w:instrText>bdb</w:instrText>
      </w:r>
      <w:r w:rsidR="00EA3B99" w:rsidRPr="0044196C">
        <w:rPr>
          <w:color w:val="000000" w:themeColor="text1"/>
        </w:rPr>
        <w:instrText>9-1</w:instrText>
      </w:r>
      <w:r w:rsidR="00EA3B99" w:rsidRPr="0044196C">
        <w:rPr>
          <w:color w:val="000000" w:themeColor="text1"/>
          <w:lang w:val="en-US"/>
        </w:rPr>
        <w:instrText>fd</w:instrText>
      </w:r>
      <w:r w:rsidR="00EA3B99" w:rsidRPr="0044196C">
        <w:rPr>
          <w:color w:val="000000" w:themeColor="text1"/>
        </w:rPr>
        <w:instrText>554419005" ] } ], "</w:instrText>
      </w:r>
      <w:r w:rsidR="00EA3B99" w:rsidRPr="0044196C">
        <w:rPr>
          <w:color w:val="000000" w:themeColor="text1"/>
          <w:lang w:val="en-US"/>
        </w:rPr>
        <w:instrText>mendeley</w:instrText>
      </w:r>
      <w:r w:rsidR="00EA3B99" w:rsidRPr="0044196C">
        <w:rPr>
          <w:color w:val="000000" w:themeColor="text1"/>
        </w:rPr>
        <w:instrText>" : { "</w:instrText>
      </w:r>
      <w:r w:rsidR="00EA3B99" w:rsidRPr="0044196C">
        <w:rPr>
          <w:color w:val="000000" w:themeColor="text1"/>
          <w:lang w:val="en-US"/>
        </w:rPr>
        <w:instrText>previouslyFormattedCitation</w:instrText>
      </w:r>
      <w:r w:rsidR="00EA3B99" w:rsidRPr="0044196C">
        <w:rPr>
          <w:color w:val="000000" w:themeColor="text1"/>
        </w:rPr>
        <w:instrText>" : "[</w:instrText>
      </w:r>
      <w:r w:rsidR="00EA3B99" w:rsidRPr="0044196C">
        <w:rPr>
          <w:color w:val="000000" w:themeColor="text1"/>
          <w:lang w:val="en-US"/>
        </w:rPr>
        <w:instrText>Gisen</w:instrText>
      </w:r>
      <w:r w:rsidR="00EA3B99" w:rsidRPr="0044196C">
        <w:rPr>
          <w:color w:val="000000" w:themeColor="text1"/>
        </w:rPr>
        <w:instrText xml:space="preserve">, </w:instrText>
      </w:r>
      <w:r w:rsidR="00EA3B99" w:rsidRPr="0044196C">
        <w:rPr>
          <w:color w:val="000000" w:themeColor="text1"/>
          <w:lang w:val="en-US"/>
        </w:rPr>
        <w:instrText>Gruppo</w:instrText>
      </w:r>
      <w:r w:rsidR="00EA3B99" w:rsidRPr="0044196C">
        <w:rPr>
          <w:color w:val="000000" w:themeColor="text1"/>
        </w:rPr>
        <w:instrText xml:space="preserve">, </w:instrText>
      </w:r>
      <w:r w:rsidR="00EA3B99" w:rsidRPr="0044196C">
        <w:rPr>
          <w:color w:val="000000" w:themeColor="text1"/>
          <w:lang w:val="en-US"/>
        </w:rPr>
        <w:instrText>Epidemiologici</w:instrText>
      </w:r>
      <w:r w:rsidR="00EA3B99" w:rsidRPr="0044196C">
        <w:rPr>
          <w:color w:val="000000" w:themeColor="text1"/>
        </w:rPr>
        <w:instrText>, 1997]" }, "</w:instrText>
      </w:r>
      <w:r w:rsidR="00EA3B99" w:rsidRPr="0044196C">
        <w:rPr>
          <w:color w:val="000000" w:themeColor="text1"/>
          <w:lang w:val="en-US"/>
        </w:rPr>
        <w:instrText>properties</w:instrText>
      </w:r>
      <w:r w:rsidR="00EA3B99" w:rsidRPr="0044196C">
        <w:rPr>
          <w:color w:val="000000" w:themeColor="text1"/>
        </w:rPr>
        <w:instrText>" : { "</w:instrText>
      </w:r>
      <w:r w:rsidR="00EA3B99" w:rsidRPr="0044196C">
        <w:rPr>
          <w:color w:val="000000" w:themeColor="text1"/>
          <w:lang w:val="en-US"/>
        </w:rPr>
        <w:instrText>noteIndex</w:instrText>
      </w:r>
      <w:r w:rsidR="00EA3B99" w:rsidRPr="0044196C">
        <w:rPr>
          <w:color w:val="000000" w:themeColor="text1"/>
        </w:rPr>
        <w:instrText>" : 0 }, "</w:instrText>
      </w:r>
      <w:r w:rsidR="00EA3B99" w:rsidRPr="0044196C">
        <w:rPr>
          <w:color w:val="000000" w:themeColor="text1"/>
          <w:lang w:val="en-US"/>
        </w:rPr>
        <w:instrText>schema</w:instrText>
      </w:r>
      <w:r w:rsidR="00EA3B99" w:rsidRPr="0044196C">
        <w:rPr>
          <w:color w:val="000000" w:themeColor="text1"/>
        </w:rPr>
        <w:instrText>" : "</w:instrText>
      </w:r>
      <w:r w:rsidR="00EA3B99" w:rsidRPr="0044196C">
        <w:rPr>
          <w:color w:val="000000" w:themeColor="text1"/>
          <w:lang w:val="en-US"/>
        </w:rPr>
        <w:instrText>https</w:instrText>
      </w:r>
      <w:r w:rsidR="00EA3B99" w:rsidRPr="0044196C">
        <w:rPr>
          <w:color w:val="000000" w:themeColor="text1"/>
        </w:rPr>
        <w:instrText>://</w:instrText>
      </w:r>
      <w:r w:rsidR="00EA3B99" w:rsidRPr="0044196C">
        <w:rPr>
          <w:color w:val="000000" w:themeColor="text1"/>
          <w:lang w:val="en-US"/>
        </w:rPr>
        <w:instrText>github</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style</w:instrText>
      </w:r>
      <w:r w:rsidR="00EA3B99" w:rsidRPr="0044196C">
        <w:rPr>
          <w:color w:val="000000" w:themeColor="text1"/>
        </w:rPr>
        <w:instrText>-</w:instrText>
      </w:r>
      <w:r w:rsidR="00EA3B99" w:rsidRPr="0044196C">
        <w:rPr>
          <w:color w:val="000000" w:themeColor="text1"/>
          <w:lang w:val="en-US"/>
        </w:rPr>
        <w:instrText>language</w:instrText>
      </w:r>
      <w:r w:rsidR="00EA3B99" w:rsidRPr="0044196C">
        <w:rPr>
          <w:color w:val="000000" w:themeColor="text1"/>
        </w:rPr>
        <w:instrText>/</w:instrText>
      </w:r>
      <w:r w:rsidR="00EA3B99" w:rsidRPr="0044196C">
        <w:rPr>
          <w:color w:val="000000" w:themeColor="text1"/>
          <w:lang w:val="en-US"/>
        </w:rPr>
        <w:instrText>schema</w:instrText>
      </w:r>
      <w:r w:rsidR="00EA3B99" w:rsidRPr="0044196C">
        <w:rPr>
          <w:color w:val="000000" w:themeColor="text1"/>
        </w:rPr>
        <w:instrText>/</w:instrText>
      </w:r>
      <w:r w:rsidR="00EA3B99" w:rsidRPr="0044196C">
        <w:rPr>
          <w:color w:val="000000" w:themeColor="text1"/>
          <w:lang w:val="en-US"/>
        </w:rPr>
        <w:instrText>raw</w:instrText>
      </w:r>
      <w:r w:rsidR="00EA3B99" w:rsidRPr="0044196C">
        <w:rPr>
          <w:color w:val="000000" w:themeColor="text1"/>
        </w:rPr>
        <w:instrText>/</w:instrText>
      </w:r>
      <w:r w:rsidR="00EA3B99" w:rsidRPr="0044196C">
        <w:rPr>
          <w:color w:val="000000" w:themeColor="text1"/>
          <w:lang w:val="en-US"/>
        </w:rPr>
        <w:instrText>master</w:instrText>
      </w:r>
      <w:r w:rsidR="00EA3B99" w:rsidRPr="0044196C">
        <w:rPr>
          <w:color w:val="000000" w:themeColor="text1"/>
        </w:rPr>
        <w:instrText>/</w:instrText>
      </w:r>
      <w:r w:rsidR="00EA3B99" w:rsidRPr="0044196C">
        <w:rPr>
          <w:color w:val="000000" w:themeColor="text1"/>
          <w:lang w:val="en-US"/>
        </w:rPr>
        <w:instrText>csl</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json</w:instrText>
      </w:r>
      <w:r w:rsidR="00EA3B99" w:rsidRPr="0044196C">
        <w:rPr>
          <w:color w:val="000000" w:themeColor="text1"/>
        </w:rPr>
        <w:instrText>" }</w:instrText>
      </w:r>
      <w:r w:rsidR="009D7C63" w:rsidRPr="0044196C">
        <w:rPr>
          <w:color w:val="000000" w:themeColor="text1"/>
          <w:lang w:val="en-US"/>
        </w:rPr>
        <w:fldChar w:fldCharType="separate"/>
      </w:r>
      <w:r w:rsidR="00EA3B99" w:rsidRPr="0044196C">
        <w:rPr>
          <w:noProof/>
          <w:color w:val="000000" w:themeColor="text1"/>
        </w:rPr>
        <w:t>[</w:t>
      </w:r>
      <w:r w:rsidR="00EA3B99" w:rsidRPr="0044196C">
        <w:rPr>
          <w:noProof/>
          <w:color w:val="000000" w:themeColor="text1"/>
          <w:lang w:val="en-US"/>
        </w:rPr>
        <w:t>Gisen</w:t>
      </w:r>
      <w:r w:rsidR="00EA3B99" w:rsidRPr="0044196C">
        <w:rPr>
          <w:noProof/>
          <w:color w:val="000000" w:themeColor="text1"/>
        </w:rPr>
        <w:t xml:space="preserve">, </w:t>
      </w:r>
      <w:r w:rsidR="00EA3B99" w:rsidRPr="0044196C">
        <w:rPr>
          <w:noProof/>
          <w:color w:val="000000" w:themeColor="text1"/>
          <w:lang w:val="en-US"/>
        </w:rPr>
        <w:t>Gruppo</w:t>
      </w:r>
      <w:r w:rsidR="00EA3B99" w:rsidRPr="0044196C">
        <w:rPr>
          <w:noProof/>
          <w:color w:val="000000" w:themeColor="text1"/>
        </w:rPr>
        <w:t xml:space="preserve">, </w:t>
      </w:r>
      <w:r w:rsidR="00EA3B99" w:rsidRPr="0044196C">
        <w:rPr>
          <w:noProof/>
          <w:color w:val="000000" w:themeColor="text1"/>
          <w:lang w:val="en-US"/>
        </w:rPr>
        <w:t>Epidemiologici</w:t>
      </w:r>
      <w:r w:rsidR="00EA3B99" w:rsidRPr="0044196C">
        <w:rPr>
          <w:noProof/>
          <w:color w:val="000000" w:themeColor="text1"/>
        </w:rPr>
        <w:t>, 1997]</w:t>
      </w:r>
      <w:r w:rsidR="009D7C63" w:rsidRPr="0044196C">
        <w:rPr>
          <w:color w:val="000000" w:themeColor="text1"/>
          <w:lang w:val="en-US"/>
        </w:rPr>
        <w:fldChar w:fldCharType="end"/>
      </w:r>
      <w:r w:rsidR="00D77736" w:rsidRPr="0044196C">
        <w:rPr>
          <w:color w:val="000000" w:themeColor="text1"/>
        </w:rPr>
        <w:t xml:space="preserve"> </w:t>
      </w:r>
      <w:r w:rsidR="00CE2D37" w:rsidRPr="0044196C">
        <w:rPr>
          <w:color w:val="000000" w:themeColor="text1"/>
        </w:rPr>
        <w:t>их благоприятное влияние на скор</w:t>
      </w:r>
      <w:r w:rsidR="007713CC" w:rsidRPr="0044196C">
        <w:rPr>
          <w:color w:val="000000" w:themeColor="text1"/>
        </w:rPr>
        <w:t xml:space="preserve">ость прогрессирования ХБП прямо </w:t>
      </w:r>
      <w:r w:rsidR="00CE2D37" w:rsidRPr="0044196C">
        <w:rPr>
          <w:color w:val="000000" w:themeColor="text1"/>
        </w:rPr>
        <w:t xml:space="preserve">пропорционально их антипротеинурическому действию. </w:t>
      </w:r>
      <w:r w:rsidR="007713CC" w:rsidRPr="0044196C">
        <w:rPr>
          <w:color w:val="000000" w:themeColor="text1"/>
        </w:rPr>
        <w:t xml:space="preserve">Хорошим признаком может считаться снижение протеинурии в 1,5-2 раза от исходного уровня или ее стойкое уменьшения до уровня ниже 0,5 г/сут, однако оно достигается не сразу, а спустя 3-6 месяцев непрерывного лечения, когда и следует оценивать эффект. </w:t>
      </w:r>
    </w:p>
    <w:p w:rsidR="006F76C9" w:rsidRPr="0044196C" w:rsidRDefault="00C775CB" w:rsidP="006F76C9">
      <w:pPr>
        <w:pStyle w:val="a0"/>
        <w:rPr>
          <w:color w:val="000000" w:themeColor="text1"/>
        </w:rPr>
      </w:pPr>
      <w:bookmarkStart w:id="71" w:name="_Ref280187127"/>
      <w:r w:rsidRPr="0044196C">
        <w:rPr>
          <w:color w:val="000000" w:themeColor="text1"/>
        </w:rPr>
        <w:t>Назначение препаратов, подавляющих РАС, пациентам с ХБП С3а-5 связано с повышенным риском осложнений, который нарастает по мере снижения функции почек</w:t>
      </w:r>
      <w:r w:rsidR="00045E72" w:rsidRPr="0044196C">
        <w:rPr>
          <w:color w:val="000000" w:themeColor="text1"/>
        </w:rPr>
        <w:t xml:space="preserve"> и у больных пожилого возраста</w:t>
      </w:r>
      <w:r w:rsidRPr="0044196C">
        <w:rPr>
          <w:color w:val="000000" w:themeColor="text1"/>
        </w:rPr>
        <w:t xml:space="preserve">. Лечение данными средствами должно проводиться на фоне тщательного мониторинга уровня креатинина </w:t>
      </w:r>
      <w:r w:rsidR="00546897" w:rsidRPr="0044196C">
        <w:rPr>
          <w:color w:val="000000" w:themeColor="text1"/>
        </w:rPr>
        <w:t>и калия сыворотки. Пациентов необходимо информировать о необходимости во время данного лечения соблюдать адекватный водный режим, исключающий гиповолемию, ограничивать потребле</w:t>
      </w:r>
      <w:r w:rsidR="0050629C" w:rsidRPr="0044196C">
        <w:rPr>
          <w:color w:val="000000" w:themeColor="text1"/>
        </w:rPr>
        <w:t xml:space="preserve">ние продуктов, богатых калием, </w:t>
      </w:r>
      <w:r w:rsidR="00611B54" w:rsidRPr="0044196C">
        <w:rPr>
          <w:color w:val="000000" w:themeColor="text1"/>
        </w:rPr>
        <w:t xml:space="preserve">о </w:t>
      </w:r>
      <w:r w:rsidR="00546897" w:rsidRPr="0044196C">
        <w:rPr>
          <w:color w:val="000000" w:themeColor="text1"/>
        </w:rPr>
        <w:t>нежелательности его сочетания с препаратами, ухудшающими почечный кровоток (анальгетики и НПВП, включая селективные ингибиторы циклооксигеназы-2)</w:t>
      </w:r>
      <w:r w:rsidR="0050629C" w:rsidRPr="0044196C">
        <w:rPr>
          <w:color w:val="000000" w:themeColor="text1"/>
        </w:rPr>
        <w:t>, противопоказании данных препаратов во время беременности</w:t>
      </w:r>
      <w:r w:rsidR="00546897" w:rsidRPr="0044196C">
        <w:rPr>
          <w:color w:val="000000" w:themeColor="text1"/>
        </w:rPr>
        <w:t xml:space="preserve">. </w:t>
      </w:r>
      <w:r w:rsidR="0050629C" w:rsidRPr="0044196C">
        <w:rPr>
          <w:color w:val="000000" w:themeColor="text1"/>
        </w:rPr>
        <w:t xml:space="preserve"> При стойком (сохраняющемся в течение нескольких недель) повышении концентрации креатинина сыворотки более чем на 30% от исходного уровня препарат, подавляющий РАС, должен быть отменен и проведено обследование для исключения реноваскулярной болезни (см. рекомендацию </w:t>
      </w:r>
      <w:fldSimple w:instr=" REF _Ref279578292 \n \h  \* MERGEFORMAT ">
        <w:r w:rsidR="0050629C" w:rsidRPr="0044196C">
          <w:rPr>
            <w:color w:val="000000" w:themeColor="text1"/>
          </w:rPr>
          <w:t>5.4</w:t>
        </w:r>
      </w:fldSimple>
      <w:r w:rsidR="0050629C" w:rsidRPr="0044196C">
        <w:rPr>
          <w:color w:val="000000" w:themeColor="text1"/>
        </w:rPr>
        <w:t xml:space="preserve">) </w:t>
      </w:r>
      <w:r w:rsidR="006F76C9" w:rsidRPr="0044196C">
        <w:rPr>
          <w:color w:val="000000" w:themeColor="text1"/>
        </w:rPr>
        <w:t>(НГ).</w:t>
      </w:r>
      <w:bookmarkEnd w:id="71"/>
    </w:p>
    <w:p w:rsidR="006F76C9" w:rsidRPr="0044196C" w:rsidRDefault="00FC43A0" w:rsidP="00FC43A0">
      <w:pPr>
        <w:rPr>
          <w:color w:val="000000" w:themeColor="text1"/>
        </w:rPr>
      </w:pPr>
      <w:r w:rsidRPr="0044196C">
        <w:rPr>
          <w:color w:val="000000" w:themeColor="text1"/>
        </w:rPr>
        <w:t>Д</w:t>
      </w:r>
      <w:r w:rsidR="009756EB" w:rsidRPr="0044196C">
        <w:rPr>
          <w:color w:val="000000" w:themeColor="text1"/>
        </w:rPr>
        <w:t>анные РКИ</w:t>
      </w:r>
      <w:r w:rsidR="00D77736" w:rsidRPr="0044196C">
        <w:rPr>
          <w:color w:val="000000" w:themeColor="text1"/>
        </w:rPr>
        <w:t xml:space="preserve"> </w:t>
      </w:r>
      <w:r w:rsidR="009D7C63" w:rsidRPr="0044196C">
        <w:rPr>
          <w:color w:val="000000" w:themeColor="text1"/>
        </w:rPr>
        <w:fldChar w:fldCharType="begin" w:fldLock="1"/>
      </w:r>
      <w:r w:rsidR="00EA3B99" w:rsidRPr="0044196C">
        <w:rPr>
          <w:color w:val="000000" w:themeColor="text1"/>
        </w:rPr>
        <w:instrText>ADDIN CSL_CITATION { "citationItems" : [ { "id" : "ITEM-1", "itemData" : { "author" : [ { "dropping-particle" : "", "family" : "Ruggenenti", "given" : "Piero", "non-dropping-particle" : "", "parse-names" : false, "suffix" : "" }, { "dropping-particle" : "", "family" : "Perna", "given" : "Annalisa", "non-dropping-particle" : "", "parse-names" : false, "suffix" : "" }, { "dropping-particle" : "", "family" : "Gherardi", "given" : "Giulia", "non-dropping-particle" : "", "parse-names" : false, "suffix" : "" }, { "dropping-particle" : "", "family" : "Gaspari", "given" : "Flavio", "non-dropping-particle" : "", "parse-names" : false, "suffix" : "" }, { "dropping-particle" : "", "family" : "Benini", "given" : "Roberto", "non-dropping-particle" : "", "parse-names" : false, "suffix" : "" }, { "dropping-particle" : "", "family" : "Remuzzi", "given" : "Giuseppe", "non-dropping-particle" : "", "parse-names" : false, "suffix" : "" }, { "dropping-particle" : "", "family" : "Italiano", "given" : "Gruppo", "non-dropping-particle" : "", "parse-names" : false, "suffix" : "" }, { "dropping-particle" : "", "family" : "Gisen", "given" : "Nefrologia", "non-dropping-particle" : "", "parse-names" : false, "suffix" : "" } ], "container-title" : "Lancet", "id" : "ITEM-1", "issued" : { "date-parts" : [ [ "1998" ] ] }, "page" : "1252-1256", "title" : "Renal function and requirement for dialysis in chronic nephropathy patients on long-term ramipril : REIN follow-up trial", "type" : "article-journal", "volume" : "352" }, "uris" : [ "http://www.mendeley.com/documents/?uuid=21cb3ffd-fb7d-4262-b1d8-1898d3551707" ] }, { "id" : "ITEM-2", "itemData" : { "DOI" : "10.1056/NEJM199604113341502", "ISSN" : "0028-4793", "PMID" : "8596594", "abstract" : "BACKGROUND: Drugs that inhibit angiotensin-converting enzyme slow the progression of renal insufficiency in patients with diabetic neuropathy. Whether these drugs have a similar action in patients with other renal diseases is not known. We conducted a study to determine the effect of the angiotensin-converting-enzyme inhibitor benazepril on the progression of renal insufficiency in patients with various underlying renal diseases.\n\nMETHODS: In a three-year trial involving 583 patients with renal insufficiency caused by various disorders, 300 patients received benazepril and 283 received placebo. The underlying diseases included glomerulopathies (in 192 patients), interstitial nephritis (in 105), nephrosclerosis (in 97), polycystic kidney disease (in 64), diabetic nephropathy (in 21), and miscellaneous or unknown disorders (in 104). The severity of renal insufficiency was classified according to the base-line creatinine clearance: 227 patients had mild insufficiency (creatinine clearance, 46 TO 60 ml per minute), and 356 had moderate insufficiency (creatinine clearance, 30 to 45 ml per minute). The primary end point was a doubling of the base-line serum creatine concentration or the need for dialysis.\n\nRESULTS: At three years. 31 patients in the benazepril group and 57 in the placebo group had reached the primary end point (P&lt;0.001). In the benazepril group, the reduction in the risk of reaching the end point was 53 percent overall (95 percent confidence interval, 27 to 70 percent), 71 percent (95 percent confidence interval, 21 to 90 percent) among the patients with mild renal insufficiency, and 46 percent (95 percent confidence interval, 12 to 67 percent) among those with moderate renal insufficiency. The reduction in risk was greatest among the male patients; those with glomerular diseases, diabetic nephropathy, or miscellaneous or unknown causes of renal disease; and those with base-line urinary protein excretion above 1 g per 24 hours. Benazepril was not effective in patients with polycystic disease. Diastolic pressure decreased by 3.5 to 5.0 mm Hg in the benazepril group and increased by 0.2 to 1.5 mm Hg in the placebo group.\n\nCONCLUSIONS: Benazepril provides protection against the progression of renal insufficiency in patients with various renal diseases.", "author" : [ { "dropping-particle" : "", "family" : "Maschio", "given" : "Giuseppe", "non-dropping-particle" : "", "parse-names" : false, "suffix" : "" }, { "dropping-particle" : "", "family" : "Alberti", "given" : "Daniele", "non-dropping-particle" : "", "parse-names" : false, "suffix" : "" }, { "dropping-particle" : "", "family" : "Janin", "given" : "G\u00e9rard", "non-dropping-particle" : "", "parse-names" : false, "suffix" : "" }, { "dropping-particle" : "", "family" : "Locatelli", "given" : "Francesco", "non-dropping-particle" : "", "parse-names" : false, "suffix" : "" }, { "dropping-particle" : "", "family" : "Mann", "given" : "Johannes F.E.", "non-dropping-particle" : "", "parse-names" : false, "suffix" : "" }, { "dropping-particle" : "", "family" : "Motolese", "given" : "Mario", "non-dropping-particle" : "", "parse-names" : false, "suffix" : "" }, { "dropping-particle" : "", "family" : "Ponticelli", "given" : "Claudio", "non-dropping-particle" : "", "parse-names" : false, "suffix" : "" }, { "dropping-particle" : "", "family" : "Ritz", "given" : "Eberhard", "non-dropping-particle" : "", "parse-names" : false, "suffix" : "" }, { "dropping-particle" : "", "family" : "Zucchelli", "given" : "Pietro", "non-dropping-particle" : "", "parse-names" : false, "suffix" : "" } ], "container-title" : "New England Journal of Medicine", "id" : "ITEM-2", "issue" : "15", "issued" : { "date-parts" : [ [ "1996", "4", "11" ] ] }, "page" : "939-945", "title" : "Effect of the Angiotensin-Converting\u2013Enzyme Inhibitor Benazepril on the Progression of Chronic Renal Insufficiency", "type" : "article-journal", "volume" : "334" }, "uris" : [ "http://www.mendeley.com/documents/?uuid=82fc8419-072b-4841-8b58-fababe463d4d" ] }, { "id" : "ITEM-3", "itemData" : { "author" : [ { "dropping-particle" : "", "family" : "Brenner", "given" : "BM", "non-dropping-particle" : "", "parse-names" : false, "suffix" : "" }, { "dropping-particle" : "", "family" : "Cooper", "given" : "ME", "non-dropping-particle" : "", "parse-names" : false, "suffix" : "" }, { "dropping-particle" : "de", "family" : "Zeeuw", "given" : "D", "non-dropping-particle" : "", "parse-names" : false, "suffix" : "" }, { "dropping-particle" : "", "family" : "Keane", "given" : "WF", "non-dropping-particle" : "", "parse-names" : false, "suffix" : "" }, { "dropping-particle" : "", "family" : "Mitch", "given" : "William E", "non-dropping-particle" : "", "parse-names" : false, "suffix" : "" }, { "dropping-particle" : "", "family" : "Parving", "given" : "Hans-Henrik", "non-dropping-particle" : "", "parse-names" : false, "suffix" : "" }, { "dropping-particle" : "", "family" : "Snapinn", "given" : "SM", "non-dropping-particle" : "", "parse-names" : false, "suffix" : "" }, { "dropping-particle" : "", "family" : "Zhang", "given" : "Z", "non-dropping-particle" : "", "parse-names" : false, "suffix" : "" }, { "dropping-particle" : "", "family" : "Shahinfar", "given" : "Shahnaz", "non-dropping-particle" : "", "parse-names" : false, "suffix" : "" } ], "container-title" : "New England Journal of \u2026", "id" : "ITEM-3", "issued" : { "date-parts" : [ [ "2001" ] ] }, "page" : "861\u2013869", "title" : "Effects of losartan on renal and cardiovascular outcomes in patients with type 2 diabetes and nephropathy", "type" : "article-journal", "volume" : "345" }, "uris" : [ "http://www.mendeley.com/documents/?uuid=6c1d49e9-1525-47bf-8e49-8e25717c38bb" ] }, { "id" : "ITEM-4", "itemData" : { "author" : [ { "dropping-particle" : "", "family" : "Lewis", "given" : "EJ", "non-dropping-particle" : "", "parse-names" : false, "suffix" : "" }, { "dropping-particle" : "", "family" : "Hunsicker", "given" : "LG", "non-dropping-particle" : "", "parse-names" : false, "suffix" : "" }, { "dropping-particle" : "", "family" : "Clarke", "given" : "WR", "non-dropping-particle" : "", "parse-names" : false, "suffix" : "" }, { "dropping-particle" : "", "family" : "Berl", "given" : "T", "non-dropping-particle" : "", "parse-names" : false, "suffix" : "" } ], "container-title" : "New England Journal of \u2026", "id" : "ITEM-4", "issue" : "12", "issued" : { "date-parts" : [ [ "2001" ] ] }, "page" : "851-860", "title" : "Renoprotective effect of the angiotensin-receptor antagonist irbesartan in patients with nephropathy due to type 2 diabetes", "type" : "article-journal", "volume" : "345" }, "uris" : [ "http://www.mendeley.com/documents/?uuid=36f06501-da39-4cff-9278-681a230f0074" ] } ], "mendeley" : { "previouslyFormattedCitation" : "[Brenner \u0438 \u0434\u0440., 2001; Lewis \u0438 \u0434\u0440., 2001; Maschio \u0438 \u0434\u0440., 1996; Ruggenenti \u0438 \u0434\u0440., 1998]"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[Brenner и др., 2001; Lewis и др., 2001; Maschio и др., 1996; Ruggenenti и др., 1998]</w:t>
      </w:r>
      <w:r w:rsidR="009D7C63" w:rsidRPr="0044196C">
        <w:rPr>
          <w:color w:val="000000" w:themeColor="text1"/>
        </w:rPr>
        <w:fldChar w:fldCharType="end"/>
      </w:r>
      <w:r w:rsidRPr="0044196C">
        <w:rPr>
          <w:color w:val="000000" w:themeColor="text1"/>
        </w:rPr>
        <w:t>, а также многолетний опыт применения ИАПФ и БРА</w:t>
      </w:r>
      <w:r w:rsidR="009756EB" w:rsidRPr="0044196C">
        <w:rPr>
          <w:color w:val="000000" w:themeColor="text1"/>
        </w:rPr>
        <w:t xml:space="preserve"> показывают, что они могут </w:t>
      </w:r>
      <w:r w:rsidRPr="0044196C">
        <w:rPr>
          <w:color w:val="000000" w:themeColor="text1"/>
        </w:rPr>
        <w:t>назначаться</w:t>
      </w:r>
      <w:r w:rsidR="009756EB" w:rsidRPr="0044196C">
        <w:rPr>
          <w:color w:val="000000" w:themeColor="text1"/>
        </w:rPr>
        <w:t xml:space="preserve"> с высокой степенью безопасности как на ранних, так и на поздних стадиях ХБП. </w:t>
      </w:r>
      <w:r w:rsidR="00C028F0" w:rsidRPr="0044196C">
        <w:rPr>
          <w:color w:val="000000" w:themeColor="text1"/>
        </w:rPr>
        <w:t>Тем не менее</w:t>
      </w:r>
      <w:r w:rsidR="00045E72" w:rsidRPr="0044196C">
        <w:rPr>
          <w:color w:val="000000" w:themeColor="text1"/>
        </w:rPr>
        <w:t>,при использовании препаратов, подавляющих РАС</w:t>
      </w:r>
      <w:r w:rsidR="00D26AC3" w:rsidRPr="0044196C">
        <w:rPr>
          <w:color w:val="000000" w:themeColor="text1"/>
        </w:rPr>
        <w:t>,</w:t>
      </w:r>
      <w:r w:rsidR="00045E72" w:rsidRPr="0044196C">
        <w:rPr>
          <w:color w:val="000000" w:themeColor="text1"/>
        </w:rPr>
        <w:t xml:space="preserve"> у пациентов с ХБПтребуется повышенная осторожность. </w:t>
      </w:r>
      <w:r w:rsidR="004068E1" w:rsidRPr="0044196C">
        <w:rPr>
          <w:color w:val="000000" w:themeColor="text1"/>
        </w:rPr>
        <w:t>Кроме мучительного сухого кашля, ангионевротического отека, нарушений внутриутробного развития плода при их приеме во время беременности, следует учитывать такие серьезные побочные действия</w:t>
      </w:r>
      <w:r w:rsidR="00D77736" w:rsidRPr="0044196C">
        <w:rPr>
          <w:color w:val="000000" w:themeColor="text1"/>
        </w:rPr>
        <w:t xml:space="preserve"> </w:t>
      </w:r>
      <w:r w:rsidR="00045E72" w:rsidRPr="0044196C">
        <w:rPr>
          <w:color w:val="000000" w:themeColor="text1"/>
        </w:rPr>
        <w:t>как гиперкалиемия, острая почечная недостаточность</w:t>
      </w:r>
      <w:r w:rsidR="004068E1" w:rsidRPr="0044196C">
        <w:rPr>
          <w:color w:val="000000" w:themeColor="text1"/>
        </w:rPr>
        <w:t xml:space="preserve">, </w:t>
      </w:r>
      <w:r w:rsidR="00045E72" w:rsidRPr="0044196C">
        <w:rPr>
          <w:color w:val="000000" w:themeColor="text1"/>
        </w:rPr>
        <w:t>анемия, характерные для</w:t>
      </w:r>
      <w:r w:rsidR="004068E1" w:rsidRPr="0044196C">
        <w:rPr>
          <w:color w:val="000000" w:themeColor="text1"/>
        </w:rPr>
        <w:t xml:space="preserve"> пациентов с ХБП, </w:t>
      </w:r>
      <w:r w:rsidR="00045E72" w:rsidRPr="0044196C">
        <w:rPr>
          <w:color w:val="000000" w:themeColor="text1"/>
        </w:rPr>
        <w:t>риск которых прямо пропорционален степени снижения СКФ</w:t>
      </w:r>
      <w:r w:rsidR="004068E1" w:rsidRPr="0044196C">
        <w:rPr>
          <w:color w:val="000000" w:themeColor="text1"/>
        </w:rPr>
        <w:t xml:space="preserve">. </w:t>
      </w:r>
    </w:p>
    <w:p w:rsidR="00930C14" w:rsidRPr="0044196C" w:rsidRDefault="00045E72" w:rsidP="00480BE9">
      <w:pPr>
        <w:rPr>
          <w:color w:val="000000" w:themeColor="text1"/>
        </w:rPr>
      </w:pPr>
      <w:r w:rsidRPr="0044196C">
        <w:rPr>
          <w:color w:val="000000" w:themeColor="text1"/>
        </w:rPr>
        <w:t xml:space="preserve">Основным механизмом нефропротективного действия ИАПФ и БРА является </w:t>
      </w:r>
      <w:r w:rsidR="00611B54" w:rsidRPr="0044196C">
        <w:rPr>
          <w:color w:val="000000" w:themeColor="text1"/>
        </w:rPr>
        <w:t>расширение выносящей артериолы, приводящее к устранению</w:t>
      </w:r>
      <w:r w:rsidRPr="0044196C">
        <w:rPr>
          <w:color w:val="000000" w:themeColor="text1"/>
        </w:rPr>
        <w:t xml:space="preserve"> клубочковой гипертензии</w:t>
      </w:r>
      <w:r w:rsidR="006B2ECB" w:rsidRPr="0044196C">
        <w:rPr>
          <w:color w:val="000000" w:themeColor="text1"/>
        </w:rPr>
        <w:t xml:space="preserve">, </w:t>
      </w:r>
      <w:r w:rsidR="006B2ECB" w:rsidRPr="0044196C">
        <w:rPr>
          <w:color w:val="000000" w:themeColor="text1"/>
        </w:rPr>
        <w:lastRenderedPageBreak/>
        <w:t>которая развивается в условиях гиперперфузии почечных клубочков и характерна для большинства больных с ХБП</w:t>
      </w:r>
      <w:r w:rsidR="00611B54" w:rsidRPr="0044196C">
        <w:rPr>
          <w:color w:val="000000" w:themeColor="text1"/>
        </w:rPr>
        <w:t xml:space="preserve">. </w:t>
      </w:r>
      <w:r w:rsidRPr="0044196C">
        <w:rPr>
          <w:color w:val="000000" w:themeColor="text1"/>
        </w:rPr>
        <w:t xml:space="preserve">В </w:t>
      </w:r>
      <w:r w:rsidR="00D26AC3" w:rsidRPr="0044196C">
        <w:rPr>
          <w:color w:val="000000" w:themeColor="text1"/>
        </w:rPr>
        <w:t xml:space="preserve">противоположной ситуации – </w:t>
      </w:r>
      <w:r w:rsidRPr="0044196C">
        <w:rPr>
          <w:color w:val="000000" w:themeColor="text1"/>
        </w:rPr>
        <w:t>гипоперфузии почечных клубочков</w:t>
      </w:r>
      <w:r w:rsidR="008B3C6F" w:rsidRPr="0044196C">
        <w:rPr>
          <w:color w:val="000000" w:themeColor="text1"/>
        </w:rPr>
        <w:t xml:space="preserve">, развивающейся при гиповолемии, </w:t>
      </w:r>
      <w:r w:rsidR="00265023" w:rsidRPr="0044196C">
        <w:rPr>
          <w:color w:val="000000" w:themeColor="text1"/>
        </w:rPr>
        <w:t>уменьшении сердечного выброса</w:t>
      </w:r>
      <w:r w:rsidR="008B3C6F" w:rsidRPr="0044196C">
        <w:rPr>
          <w:color w:val="000000" w:themeColor="text1"/>
        </w:rPr>
        <w:t xml:space="preserve">, нарушении проходимости почечных сосудов вследствие их обструкции или вазоконстрикции, препараты, подавляющие РАС, перестают оказывать нефропротективное действие и могут вызвать острую почечную недостаточность, поскольку устраняют сужение выносящей артериолы – единственный механизм, поддерживающий клубочковое давление при снижении их кровоснабжения. </w:t>
      </w:r>
    </w:p>
    <w:p w:rsidR="008B3C6F" w:rsidRPr="0044196C" w:rsidRDefault="00265023" w:rsidP="00265023">
      <w:pPr>
        <w:rPr>
          <w:color w:val="000000" w:themeColor="text1"/>
        </w:rPr>
      </w:pPr>
      <w:r w:rsidRPr="0044196C">
        <w:rPr>
          <w:color w:val="000000" w:themeColor="text1"/>
        </w:rPr>
        <w:t xml:space="preserve">Факторами риска гипоперфузии почечных клубочков являются пожилой возраст, наличие сахарного диабета, застойной сердечной недостаточности, тяжелого атеросклероза, неадекватный водный режим, неадекватный и бесконтрольный прием диуретиков, анальгетиков и НПВП. В этих ситуациях нужна повышенная осторожность: начальное назначение препаратов, блокирующих РАС, проводить в минимальных дозах с постепенным их титрованием, </w:t>
      </w:r>
      <w:r w:rsidR="00D26AC3" w:rsidRPr="0044196C">
        <w:rPr>
          <w:color w:val="000000" w:themeColor="text1"/>
        </w:rPr>
        <w:t xml:space="preserve">обеспечивать </w:t>
      </w:r>
      <w:r w:rsidRPr="0044196C">
        <w:rPr>
          <w:color w:val="000000" w:themeColor="text1"/>
        </w:rPr>
        <w:t>более частый мониторинг уровня креатинина и калия сыворотки крови.</w:t>
      </w:r>
    </w:p>
    <w:p w:rsidR="008B3C6F" w:rsidRPr="0044196C" w:rsidRDefault="00265023" w:rsidP="00480BE9">
      <w:pPr>
        <w:rPr>
          <w:color w:val="000000" w:themeColor="text1"/>
        </w:rPr>
      </w:pPr>
      <w:r w:rsidRPr="0044196C">
        <w:rPr>
          <w:color w:val="000000" w:themeColor="text1"/>
        </w:rPr>
        <w:t xml:space="preserve">Гиперкалиемия развивается при назначении </w:t>
      </w:r>
      <w:r w:rsidR="008B78B5" w:rsidRPr="0044196C">
        <w:rPr>
          <w:color w:val="000000" w:themeColor="text1"/>
        </w:rPr>
        <w:t xml:space="preserve">ИАПФ и БРА </w:t>
      </w:r>
      <w:r w:rsidRPr="0044196C">
        <w:rPr>
          <w:color w:val="000000" w:themeColor="text1"/>
        </w:rPr>
        <w:t>вследствие подавления продукции альдостерона.</w:t>
      </w:r>
      <w:r w:rsidR="008B78B5" w:rsidRPr="0044196C">
        <w:rPr>
          <w:color w:val="000000" w:themeColor="text1"/>
        </w:rPr>
        <w:t xml:space="preserve"> Ее предотвращению способствуют низкокалиевая диета и назначение салуретиков.</w:t>
      </w:r>
    </w:p>
    <w:p w:rsidR="00480BE9" w:rsidRPr="0044196C" w:rsidRDefault="008B78B5" w:rsidP="00D122F4">
      <w:pPr>
        <w:tabs>
          <w:tab w:val="left" w:pos="3573"/>
        </w:tabs>
        <w:rPr>
          <w:rFonts w:cs="Times New Roman"/>
          <w:color w:val="000000" w:themeColor="text1"/>
        </w:rPr>
      </w:pPr>
      <w:r w:rsidRPr="0044196C">
        <w:rPr>
          <w:rFonts w:cs="Times New Roman"/>
          <w:color w:val="000000" w:themeColor="text1"/>
        </w:rPr>
        <w:t xml:space="preserve">БРА по сравнению с ИАПФ значительно реже вызывают сухой кашель, ангионевротический отек и гиперкалиемию и могут рассматриваться в качестве альтернативы при непереносимости ИАПФ.  Риск развития острой почечной недостаточности </w:t>
      </w:r>
      <w:r w:rsidR="00DE3E5A" w:rsidRPr="0044196C">
        <w:rPr>
          <w:rFonts w:cs="Times New Roman"/>
          <w:color w:val="000000" w:themeColor="text1"/>
        </w:rPr>
        <w:t>при испол</w:t>
      </w:r>
      <w:r w:rsidR="00D26AC3" w:rsidRPr="0044196C">
        <w:rPr>
          <w:rFonts w:cs="Times New Roman"/>
          <w:color w:val="000000" w:themeColor="text1"/>
        </w:rPr>
        <w:t xml:space="preserve">ьзовании обеих групп препаратов, подавляющих РАС, </w:t>
      </w:r>
      <w:r w:rsidR="00DE3E5A" w:rsidRPr="0044196C">
        <w:rPr>
          <w:rFonts w:cs="Times New Roman"/>
          <w:color w:val="000000" w:themeColor="text1"/>
        </w:rPr>
        <w:t xml:space="preserve">одинаков, поэтому при появлении данного осложнения обе группы в дальнейшем должны быть исключены. </w:t>
      </w:r>
    </w:p>
    <w:p w:rsidR="00E41872" w:rsidRPr="0044196C" w:rsidRDefault="00DE3E5A" w:rsidP="00526771">
      <w:pPr>
        <w:tabs>
          <w:tab w:val="left" w:pos="3573"/>
        </w:tabs>
        <w:rPr>
          <w:rFonts w:cs="Times New Roman"/>
          <w:color w:val="000000" w:themeColor="text1"/>
        </w:rPr>
      </w:pPr>
      <w:r w:rsidRPr="0044196C">
        <w:rPr>
          <w:rFonts w:cs="Times New Roman"/>
          <w:color w:val="000000" w:themeColor="text1"/>
        </w:rPr>
        <w:t>Контроль уровня креатинина и кали</w:t>
      </w:r>
      <w:r w:rsidR="00CE763B" w:rsidRPr="0044196C">
        <w:rPr>
          <w:rFonts w:cs="Times New Roman"/>
          <w:color w:val="000000" w:themeColor="text1"/>
        </w:rPr>
        <w:t xml:space="preserve">ясыворотки </w:t>
      </w:r>
      <w:r w:rsidRPr="0044196C">
        <w:rPr>
          <w:rFonts w:cs="Times New Roman"/>
          <w:color w:val="000000" w:themeColor="text1"/>
        </w:rPr>
        <w:t xml:space="preserve">крови должен проводиться до назначения препарата, подавляющего РАС, или увеличения его дозы и затем повторно - через 3-5 дней. Увеличение уровня креатинина на величину менее 30% от исходного уровня считается благоприятным признаком, поскольку отражает устранение клубочковой гипертензии и гиперфильтрации. При его повышении на 30-50% рекомендуется повторное определение с интервалом в 1 неделю. Если повышение уровня креатинина через 3 недели наблюдения сохраняется выше 30%, препарат должен быть отменен. Если повышение уровня креатинина </w:t>
      </w:r>
      <w:r w:rsidR="00526771" w:rsidRPr="0044196C">
        <w:rPr>
          <w:rFonts w:cs="Times New Roman"/>
          <w:color w:val="000000" w:themeColor="text1"/>
        </w:rPr>
        <w:t>составляет≥</w:t>
      </w:r>
      <w:r w:rsidRPr="0044196C">
        <w:rPr>
          <w:rFonts w:cs="Times New Roman"/>
          <w:color w:val="000000" w:themeColor="text1"/>
        </w:rPr>
        <w:t>50% от исходного, препарат должен быть немедленно отменен</w:t>
      </w:r>
      <w:r w:rsidR="00526771" w:rsidRPr="0044196C">
        <w:rPr>
          <w:rFonts w:cs="Times New Roman"/>
          <w:color w:val="000000" w:themeColor="text1"/>
        </w:rPr>
        <w:t xml:space="preserve">. При резком (≥30%) повышении уровня креатинина сыворотки больной должен быть направлен на обследование для исключения реноваскулярной болезни </w:t>
      </w:r>
      <w:r w:rsidR="00526771" w:rsidRPr="0044196C">
        <w:rPr>
          <w:color w:val="000000" w:themeColor="text1"/>
        </w:rPr>
        <w:t xml:space="preserve">(см. рекомендацию </w:t>
      </w:r>
      <w:fldSimple w:instr=" REF _Ref279578292 \n \h  \* MERGEFORMAT ">
        <w:r w:rsidR="00526771" w:rsidRPr="0044196C">
          <w:rPr>
            <w:color w:val="000000" w:themeColor="text1"/>
          </w:rPr>
          <w:t>5.4</w:t>
        </w:r>
      </w:fldSimple>
      <w:r w:rsidR="00526771" w:rsidRPr="0044196C">
        <w:rPr>
          <w:color w:val="000000" w:themeColor="text1"/>
        </w:rPr>
        <w:t>)</w:t>
      </w:r>
      <w:r w:rsidR="00526771" w:rsidRPr="0044196C">
        <w:rPr>
          <w:rFonts w:cs="Times New Roman"/>
          <w:color w:val="000000" w:themeColor="text1"/>
        </w:rPr>
        <w:t>.</w:t>
      </w:r>
    </w:p>
    <w:p w:rsidR="0010693D" w:rsidRPr="0044196C" w:rsidRDefault="00F40148" w:rsidP="00F40148">
      <w:pPr>
        <w:pStyle w:val="a0"/>
        <w:rPr>
          <w:color w:val="000000" w:themeColor="text1"/>
        </w:rPr>
      </w:pPr>
      <w:bookmarkStart w:id="72" w:name="_Toc279732226"/>
      <w:bookmarkStart w:id="73" w:name="_Ref280006284"/>
      <w:bookmarkStart w:id="74" w:name="_Ref280006331"/>
      <w:r w:rsidRPr="0044196C">
        <w:rPr>
          <w:color w:val="000000" w:themeColor="text1"/>
        </w:rPr>
        <w:t xml:space="preserve">В большинстве случаеввторичной почечной АГ монотерапия оказывается недостаточной и </w:t>
      </w:r>
      <w:r w:rsidR="00A16324" w:rsidRPr="0044196C">
        <w:rPr>
          <w:color w:val="000000" w:themeColor="text1"/>
        </w:rPr>
        <w:t>следует применять</w:t>
      </w:r>
      <w:r w:rsidRPr="0044196C">
        <w:rPr>
          <w:color w:val="000000" w:themeColor="text1"/>
        </w:rPr>
        <w:t xml:space="preserve"> комбинированное лечение препаратами, снижающими АД, из разных фармакологических групп. При САД ≥ </w:t>
      </w:r>
      <w:r w:rsidR="00A16324" w:rsidRPr="0044196C">
        <w:rPr>
          <w:color w:val="000000" w:themeColor="text1"/>
        </w:rPr>
        <w:t xml:space="preserve">160 и/или ДАД  ≥ 100 лечение сразу начинают с двух препаратов. </w:t>
      </w:r>
      <w:r w:rsidRPr="0044196C">
        <w:rPr>
          <w:color w:val="000000" w:themeColor="text1"/>
        </w:rPr>
        <w:t>(НГ).</w:t>
      </w:r>
      <w:bookmarkEnd w:id="72"/>
      <w:bookmarkEnd w:id="73"/>
      <w:bookmarkEnd w:id="74"/>
    </w:p>
    <w:p w:rsidR="0010693D" w:rsidRPr="0044196C" w:rsidRDefault="00950300" w:rsidP="00D122F4">
      <w:pPr>
        <w:tabs>
          <w:tab w:val="left" w:pos="3573"/>
        </w:tabs>
        <w:rPr>
          <w:color w:val="000000" w:themeColor="text1"/>
        </w:rPr>
      </w:pPr>
      <w:r w:rsidRPr="0044196C">
        <w:rPr>
          <w:color w:val="000000" w:themeColor="text1"/>
        </w:rPr>
        <w:t>По данным РКИ</w:t>
      </w:r>
      <w:r w:rsidR="00811386" w:rsidRPr="0044196C">
        <w:rPr>
          <w:color w:val="000000" w:themeColor="text1"/>
        </w:rPr>
        <w:t>, в которых ставилась задача более строгого контроля АД,</w:t>
      </w:r>
      <w:r w:rsidRPr="0044196C">
        <w:rPr>
          <w:color w:val="000000" w:themeColor="text1"/>
        </w:rPr>
        <w:t xml:space="preserve"> для достижения </w:t>
      </w:r>
      <w:r w:rsidR="00811386" w:rsidRPr="0044196C">
        <w:rPr>
          <w:color w:val="000000" w:themeColor="text1"/>
        </w:rPr>
        <w:t xml:space="preserve">его </w:t>
      </w:r>
      <w:r w:rsidRPr="0044196C">
        <w:rPr>
          <w:color w:val="000000" w:themeColor="text1"/>
        </w:rPr>
        <w:t>целевого уровня при ХБП необходима комбинация из 3 и более препаратов</w:t>
      </w:r>
      <w:r w:rsidR="00811386" w:rsidRPr="0044196C">
        <w:rPr>
          <w:color w:val="000000" w:themeColor="text1"/>
        </w:rPr>
        <w:t xml:space="preserve">. </w:t>
      </w:r>
      <w:r w:rsidR="00A445C5" w:rsidRPr="0044196C">
        <w:rPr>
          <w:color w:val="000000" w:themeColor="text1"/>
        </w:rPr>
        <w:t>К сожалению, возможности комбинированной терапии АГ при ХБП изучены в небольшом числе исследований.</w:t>
      </w:r>
    </w:p>
    <w:p w:rsidR="00A445C5" w:rsidRPr="0044196C" w:rsidRDefault="00A445C5" w:rsidP="00D122F4">
      <w:pPr>
        <w:tabs>
          <w:tab w:val="left" w:pos="3573"/>
        </w:tabs>
        <w:rPr>
          <w:rFonts w:cs="Times New Roman"/>
          <w:color w:val="000000" w:themeColor="text1"/>
        </w:rPr>
      </w:pPr>
      <w:r w:rsidRPr="0044196C">
        <w:rPr>
          <w:color w:val="000000" w:themeColor="text1"/>
        </w:rPr>
        <w:lastRenderedPageBreak/>
        <w:t xml:space="preserve">При альбуминурии категории А1, </w:t>
      </w:r>
      <w:r w:rsidR="00632331" w:rsidRPr="0044196C">
        <w:rPr>
          <w:color w:val="000000" w:themeColor="text1"/>
        </w:rPr>
        <w:t>при которой</w:t>
      </w:r>
      <w:r w:rsidRPr="0044196C">
        <w:rPr>
          <w:color w:val="000000" w:themeColor="text1"/>
        </w:rPr>
        <w:t xml:space="preserve"> ИАПФ и БРА не обладают преимуществами по сравнению с </w:t>
      </w:r>
      <w:r w:rsidR="00632331" w:rsidRPr="0044196C">
        <w:rPr>
          <w:color w:val="000000" w:themeColor="text1"/>
        </w:rPr>
        <w:t>антигипертензивными</w:t>
      </w:r>
      <w:r w:rsidRPr="0044196C">
        <w:rPr>
          <w:color w:val="000000" w:themeColor="text1"/>
        </w:rPr>
        <w:t xml:space="preserve">препаратамииз других групп, комбинированная терапия проводится </w:t>
      </w:r>
      <w:r w:rsidR="00632331" w:rsidRPr="0044196C">
        <w:rPr>
          <w:color w:val="000000" w:themeColor="text1"/>
        </w:rPr>
        <w:t xml:space="preserve">в соответствии с общими принципами, </w:t>
      </w:r>
      <w:r w:rsidR="00D21389" w:rsidRPr="0044196C">
        <w:rPr>
          <w:color w:val="000000" w:themeColor="text1"/>
        </w:rPr>
        <w:t xml:space="preserve">сформулированными </w:t>
      </w:r>
      <w:r w:rsidR="00632331" w:rsidRPr="0044196C">
        <w:rPr>
          <w:color w:val="000000" w:themeColor="text1"/>
        </w:rPr>
        <w:t xml:space="preserve">в Национальных рекомендациях по </w:t>
      </w:r>
      <w:r w:rsidR="002C49EE" w:rsidRPr="0044196C">
        <w:rPr>
          <w:color w:val="000000" w:themeColor="text1"/>
        </w:rPr>
        <w:t>лечению</w:t>
      </w:r>
      <w:r w:rsidR="00632331" w:rsidRPr="0044196C">
        <w:rPr>
          <w:color w:val="000000" w:themeColor="text1"/>
        </w:rPr>
        <w:t xml:space="preserve"> АГ [].</w:t>
      </w:r>
    </w:p>
    <w:p w:rsidR="0010693D" w:rsidRPr="0044196C" w:rsidRDefault="00D21389" w:rsidP="00D122F4">
      <w:pPr>
        <w:tabs>
          <w:tab w:val="left" w:pos="3573"/>
        </w:tabs>
        <w:rPr>
          <w:rFonts w:cs="Times New Roman"/>
          <w:color w:val="000000" w:themeColor="text1"/>
        </w:rPr>
      </w:pPr>
      <w:r w:rsidRPr="0044196C">
        <w:rPr>
          <w:rFonts w:cs="Times New Roman"/>
          <w:color w:val="000000" w:themeColor="text1"/>
        </w:rPr>
        <w:t>При более выраженной альбуминурии/протеинурии, когда</w:t>
      </w:r>
      <w:r w:rsidR="00632331" w:rsidRPr="0044196C">
        <w:rPr>
          <w:rFonts w:cs="Times New Roman"/>
          <w:color w:val="000000" w:themeColor="text1"/>
        </w:rPr>
        <w:t xml:space="preserve"> ИАПФ или БРА являю</w:t>
      </w:r>
      <w:r w:rsidR="00172050" w:rsidRPr="0044196C">
        <w:rPr>
          <w:rFonts w:cs="Times New Roman"/>
          <w:color w:val="000000" w:themeColor="text1"/>
        </w:rPr>
        <w:t xml:space="preserve">тся препаратами первого выбора эффективность дополнительной антигипертензивной терапии должна оцениваться с точки зрения </w:t>
      </w:r>
      <w:r w:rsidR="00D26AC3" w:rsidRPr="0044196C">
        <w:rPr>
          <w:rFonts w:cs="Times New Roman"/>
          <w:color w:val="000000" w:themeColor="text1"/>
        </w:rPr>
        <w:t xml:space="preserve">ее </w:t>
      </w:r>
      <w:r w:rsidR="00172050" w:rsidRPr="0044196C">
        <w:rPr>
          <w:rFonts w:cs="Times New Roman"/>
          <w:color w:val="000000" w:themeColor="text1"/>
        </w:rPr>
        <w:t xml:space="preserve">влияния на риск развития </w:t>
      </w:r>
      <w:r w:rsidR="005F1312" w:rsidRPr="0044196C">
        <w:rPr>
          <w:rFonts w:cs="Times New Roman"/>
          <w:color w:val="000000" w:themeColor="text1"/>
        </w:rPr>
        <w:t xml:space="preserve">ТПН и </w:t>
      </w:r>
      <w:r w:rsidR="00172050" w:rsidRPr="0044196C">
        <w:rPr>
          <w:rFonts w:cs="Times New Roman"/>
          <w:color w:val="000000" w:themeColor="text1"/>
        </w:rPr>
        <w:t>ССО.</w:t>
      </w:r>
    </w:p>
    <w:p w:rsidR="00CE763B" w:rsidRPr="0044196C" w:rsidRDefault="005F1312" w:rsidP="00CE763B">
      <w:pPr>
        <w:rPr>
          <w:color w:val="000000" w:themeColor="text1"/>
        </w:rPr>
      </w:pPr>
      <w:r w:rsidRPr="0044196C">
        <w:rPr>
          <w:rFonts w:cs="Times New Roman"/>
          <w:color w:val="000000" w:themeColor="text1"/>
        </w:rPr>
        <w:t>Учитывая ключевую роль гиперактивации РАС в прогрессировании ХБП</w:t>
      </w:r>
      <w:r w:rsidR="00ED6923" w:rsidRPr="0044196C">
        <w:rPr>
          <w:rFonts w:cs="Times New Roman"/>
          <w:color w:val="000000" w:themeColor="text1"/>
        </w:rPr>
        <w:t xml:space="preserve"> и ремоделировании миокарда, в последние годы активно изучалась возможность агрессивной ее блокады с использованием препаратов, действующих на разном уровне. </w:t>
      </w:r>
      <w:r w:rsidR="00ED6923" w:rsidRPr="0044196C">
        <w:rPr>
          <w:color w:val="000000" w:themeColor="text1"/>
        </w:rPr>
        <w:t>Однако</w:t>
      </w:r>
      <w:r w:rsidR="00CE763B" w:rsidRPr="0044196C">
        <w:rPr>
          <w:color w:val="000000" w:themeColor="text1"/>
        </w:rPr>
        <w:t xml:space="preserve"> как показал ряд </w:t>
      </w:r>
      <w:r w:rsidR="00D26AC3" w:rsidRPr="0044196C">
        <w:rPr>
          <w:color w:val="000000" w:themeColor="text1"/>
        </w:rPr>
        <w:t>РКИ</w:t>
      </w:r>
      <w:r w:rsidR="00CE763B" w:rsidRPr="0044196C">
        <w:rPr>
          <w:color w:val="000000" w:themeColor="text1"/>
        </w:rPr>
        <w:t xml:space="preserve">, посвященных различным сочетаниям ИАПФ, БРА и ингибитора ренина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"10.1016/S0140-6736(08)61236-2", "ISSN" : "1474-547X", "PMID" : "18707986", "abstract" : "BACKGROUND: Angiotensin receptor blockers (ARB) and angiotensin converting enzyme (ACE) inhibitors are known to reduce proteinuria. Their combination might be more effective than either treatment alone, but long-term data for comparative changes in renal function are not available. We investigated the renal effects of ramipril (an ACE inhibitor), telmisartan (an ARB), and their combination in patients aged 55 years or older with established atherosclerotic vascular disease or with diabetes with end-organ damage.\n\nMETHODS: The trial ran from 2001 to 2007. After a 3-week run-in period, 25 620 participants were randomly assigned to ramipril 10 mg a day (n=8576), telmisartan 80 mg a day (n=8542), or to a combination of both drugs (n=8502; median follow-up was 56 months), and renal function and proteinuria were measured. The primary renal outcome was a composite of dialysis, doubling of serum creatinine, and death. Analysis was by intention to treat. This study is registered with ClinicalTrials.gov, number NCT00153101.\n\nFINDINGS: 784 patients permanently discontinued randomised therapy during the trial because of hypotensive symptoms (406 on combination therapy, 149 on ramipril, and 229 on telmisartan). The number of events for the composite primary outcome was similar for telmisartan (n=1147 [13.4%]) and ramipril (1150 [13.5%]; hazard ratio [HR] 1.00, 95% CI 0.92-1.09), but was increased with combination therapy (1233 [14.5%]; HR 1.09, 1.01-1.18, p=0.037). The secondary renal outcome, dialysis or doubling of serum creatinine, was similar with telmisartan (189 [2.21%]) and ramipril (174 [2.03%]; HR 1.09, 0.89-1.34) and more frequent with combination therapy (212 [2.49%]: HR 1.24, 1.01-1.51, p=0.038). Estimated glomerular filtration rate (eGFR) declined least with ramipril compared with telmisartan (-2.82 [SD 17.2] mL/min/1.73 m(2)vs -4.12 [17.4], p&lt;0.0001) or combination therapy (-6.11 [17.9], p&lt;0.0001). The increase in urinary albumin excretion was less with telmisartan (p=0.004) or with combination therapy (p=0.001) than with ramipril.\n\nINTERPRETATION: In people at high vascular risk, telmisartan's effects on major renal outcomes are similar to ramipril. Although combination therapy reduces proteinuria to a greater extent than monotherapy, overall it worsens major renal outcomes.", "author" : [ { "dropping-particle" : "", "family" : "Mann", "given" : "Johannes F E", "non-dropping-particle" : "", "parse-names" : false, "suffix" : "" }, { "dropping-particle" : "", "family" : "Schmieder", "given" : "Roland E", "non-dropping-particle" : "", "parse-names" : false, "suffix" : "" }, { "dropping-particle" : "", "family" : "McQueen", "given" : "Matthew", "non-dropping-particle" : "", "parse-names" : false, "suffix" : "" }, { "dropping-particle" : "", "family" : "Dyal", "given" : "Leanne", "non-dropping-particle" : "", "parse-names" : false, "suffix" : "" }, { "dropping-particle" : "", "family" : "Schumacher", "given" : "Helmut", "non-dropping-particle" : "", "parse-names" : false, "suffix" : "" }, { "dropping-particle" : "", "family" : "Pogue", "given" : "Janice", "non-dropping-particle" : "", "parse-names" : false, "suffix" : "" }, { "dropping-particle" : "", "family" : "Wang", "given" : "Xingyu", "non-dropping-particle" : "", "parse-names" : false, "suffix" : "" }, { "dropping-particle" : "", "family" : "Maggioni", "given" : "Aldo", "non-dropping-particle" : "", "parse-names" : false, "suffix" : "" }, { "dropping-particle" : "", "family" : "Budaj", "given" : "Andrzej", "non-dropping-particle" : "", "parse-names" : false, "suffix" : "" }, { "dropping-particle" : "", "family" : "Chaithiraphan", "given" : "Suphachai", "non-dropping-particle" : "", "parse-names" : false, "suffix" : "" }, { "dropping-particle" : "", "family" : "Dickstein", "given" : "Kenneth", "non-dropping-particle" : "", "parse-names" : false, "suffix" : "" }, { "dropping-particle" : "", "family" : "Keltai", "given" : "Matyas", "non-dropping-particle" : "", "parse-names" : false, "suffix" : "" }, { "dropping-particle" : "", "family" : "Mets\u00e4rinne", "given" : "Kaj", "non-dropping-particle" : "", "parse-names" : false, "suffix" : "" }, { "dropping-particle" : "", "family" : "Oto", "given" : "Ali", "non-dropping-particle" : "", "parse-names" : false, "suffix" : "" }, { "dropping-particle" : "", "family" : "Parkhomenko", "given" : "Alexander", "non-dropping-particle" : "", "parse-names" : false, "suffix" : "" }, { "dropping-particle" : "", "family" : "Piegas", "given" : "Leopoldo S", "non-dropping-particle" : "", "parse-names" : false, "suffix" : "" }, { "dropping-particle" : "", "family" : "Svendsen", "given" : "Tage L", "non-dropping-particle" : "", "parse-names" : false, "suffix" : "" }, { "dropping-particle" : "", "family" : "Teo", "given" : "Koon K", "non-dropping-particle" : "", "parse-names" : false, "suffix" : "" }, { "dropping-particle" : "", "family" : "Yusuf", "given" : "Salim", "non-dropping-particle" : "", "parse-names" : false, "suffix" : "" } ], "container-title" : "Lancet", "id" : "ITEM-1", "issue" : "9638", "issued" : { "date-parts" : [ [ "2008", "8", "16" ] ] }, "note" : "Abstract\nBACKGROUND:\nAngiotensin receptor blockers (ARB) and angiotensin converting enzyme (ACE) inhibitors are known to reduce proteinuria. Their combination might be more effective than either treatment alone, but long-term data for comparative changes in renal function are not available. We investigated the renal effects of ramipril (an ACE inhibitor), telmisartan (an ARB), and their combination in patients aged 55 years or older with established atherosclerotic vascular disease or with diabetes with end-organ damage.\nMETHODS:\nThe trial ran from 2001 to 2007. After a 3-week run-in period, 25 620 participants were randomly assigned to ramipril 10 mg a day (n=8576), telmisartan 80 mg a day (n=8542), or to a combination of both drugs (n=8502; median follow-up was 56 months), and renal function and proteinuria were measured. The primary renal outcome was a composite of dialysis, doubling of serum creatinine, and death. Analysis was by intention to treat. This study is registered with ClinicalTrials.gov, number NCT00153101.\nFINDINGS:\n784 patients permanently discontinued randomised therapy during the trial because of hypotensive symptoms (406 on combination therapy, 149 on ramipril, and 229 on telmisartan). The number of events for the composite primary outcome was similar for telmisartan (n=1147 [13.4%]) and ramipril (1150 [13.5%]; hazard ratio [HR] 1.00, 95% CI 0.92-1.09), but was increased with combination therapy (1233 [14.5%]; HR 1.09, 1.01-1.18, p=0.037). The secondary renal outcome, dialysis or doubling of serum creatinine, was similar with telmisartan (189 [2.21%]) and ramipril (174 [2.03%]; HR 1.09, 0.89-1.34) and more frequent with combination therapy (212 [2.49%]: HR 1.24, 1.01-1.51, p=0.038). Estimated glomerular filtration rate (eGFR) declined least with ramipril compared with telmisartan (-2.82 [SD 17.2] mL/min/1.73 m(2)vs -4.12 [17.4], p&lt;0.0001) or combination therapy (-6.11 [17.9], p&lt;0.0001). The increase in urinary albumin excretion was less with telmisartan (p=0.004) or with combination therapy (p=0.001) than with ramipril.\nINTERPRETATION:\nIn people at high vascular risk, telmisartan's effects on major renal outcomes are similar to ramipril. Although combination therapy reduces proteinuria to a greater extent than monotherapy, overall it worsens major renal outcomes.", "page" : "547-53", "title" : "Renal outcomes with telmisartan, ramipril, or both, in people at high vascular risk (the ONTARGET study): a multicentre, randomised, double-blind, controlled trial.", "type" : "article-journal", "volume" : "372" }, "uris" : [ "http://www.mendeley.com/documents/?uuid=a65bc96c-f186-4fc1-bf54-b65fc8c62f7b" ] }, { "id" : "ITEM-2", "itemData" : { "DOI" : "10.1056/NEJMoa1303154", "ISSN" : "1533-4406", "PMID" : "24206457", "abstract" : "BACKGROUND: Combination therapy with angiotensin-converting-enzyme (ACE) inhibitors and angiotensin-receptor blockers (ARBs) decreases proteinuria; however, its safety and effect on the progression of kidney disease are uncertain. Methods We provided losartan (at a dose of 100 mg per day) to patients with type 2 diabetes, a urinary albumin-to-creatinine ratio (with albumin measured in milligrams and creatinine measured in grams) of at least 300, and an estimated glomerular filtration rate (GFR) of 30.0 to 89.9 ml per minute per 1.73 m(2) of body-surface area and then randomly assigned them to receive lisinopril (at a dose of 10 to 40 mg per day) or placebo. The primary end point was the first occurrence of a change in the estimated GFR (a decline of \u2265 30 ml per minute per 1.73 m(2) if the initial estimated GFR was \u2265 60 ml per minute per 1.73 m(2) or a decline of \u2265 50% if the initial estimated GFR was &lt;60 ml per minute per 1.73 m(2)), end-stage renal disease (ESRD), or death. The secondary renal end point was the first occurrence of a decline in the estimated GFR or ESRD. Safety outcomes included mortality, hyperkalemia, and acute kidney injury. Results The study was stopped early owing to safety concerns. Among 1448 randomly assigned patients with a median follow-up of 2.2 years, there were 152 primary end-point events in the monotherapy group and 132 in the combination-therapy group (hazard ratio with combination therapy, 0.88; 95% confidence interval [CI], 0.70 to 1.12; P=0.30). A trend toward a benefit from combination therapy with respect to the secondary end point (hazard ratio, 0.78; 95% CI, 0.58 to 1.05; P=0.10) decreased with time (P=0.02 for nonproportionality). There was no benefit with respect to mortality (hazard ratio for death, 1.04; 95% CI, 0.73 to 1.49; P=0.75) or cardiovascular events. Combination therapy increased the risk of hyperkalemia (6.3 events per 100 person-years, vs. 2.6 events per 100 person-years with monotherapy; P&lt;0.001) and acute kidney injury (12.2 vs. 6.7 events per 100 person-years, P&lt;0.001). Conclusions Combination therapy with an ACE inhibitor and an ARB was associated with an increased risk of adverse events among patients with diabetic nephropathy. (Funded by the Cooperative Studies Program of the Department of Veterans Affairs Office of Research and Development; VA NEPHRON-D ClinicalTrials.gov number, NCT00555217.).", "author" : [ { "dropping-particle" : "", "family" : "Fried", "given" : "Linda F", "non-dropping-particle" : "", "parse-names" : false, "suffix" : "" }, { "dropping-particle" : "", "family" : "Emanuele", "given" : "Nicholas", "non-dropping-particle" : "", "parse-names" : false, "suffix" : "" }, { "dropping-particle" : "", "family" : "Zhang", "given" : "Jane H", "non-dropping-particle" : "", "parse-names" : false, "suffix" : "" }, { "dropping-particle" : "", "family" : "Brophy", "given" : "Mary", "non-dropping-particle" : "", "parse-names" : false, "suffix" : "" }, { "dropping-particle" : "", "family" : "Conner", "given" : "Todd a", "non-dropping-particle" : "", "parse-names" : false, "suffix" : "" }, { "dropping-particle" : "", "family" : "Duckworth", "given" : "William", "non-dropping-particle" : "", "parse-names" : false, "suffix" : "" }, { "dropping-particle" : "", "family" : "Leehey", "given" : "David J", "non-dropping-particle" : "", "parse-names" : false, "suffix" : "" }, { "dropping-particle" : "", "family" : "McCullough", "given" : "Peter a", "non-dropping-particle" : "", "parse-names" : false, "suffix" : "" }, { "dropping-particle" : "", "family" : "O'Connor", "given" : "Theresa", "non-dropping-particle" : "", "parse-names" : false, "suffix" : "" }, { "dropping-particle" : "", "family" : "Palevsky", "given" : "Paul M", "non-dropping-particle" : "", "parse-names" : false, "suffix" : "" }, { "dropping-particle" : "", "family" : "Reilly", "given" : "Robert F", "non-dropping-particle" : "", "parse-names" : false, "suffix" : "" }, { "dropping-particle" : "", "family" : "Seliger", "given" : "Stephen L", "non-dropping-particle" : "", "parse-names" : false, "suffix" : "" }, { "dropping-particle" : "", "family" : "Warren", "given" : "Stuart R", "non-dropping-particle" : "", "parse-names" : false, "suffix" : "" }, { "dropping-particle" : "", "family" : "Watnick", "given" : "Suzanne", "non-dropping-particle" : "", "parse-names" : false, "suffix" : "" }, { "dropping-particle" : "", "family" : "Peduzzi", "given" : "Peter", "non-dropping-particle" : "", "parse-names" : false, "suffix" : "" }, { "dropping-particle" : "", "family" : "Guarino", "given" : "Peter", "non-dropping-particle" : "", "parse-names" : false, "suffix" : "" } ], "container-title" : "The New England journal of medicine", "id" : "ITEM-2", "issue" : "20", "issued" : { "date-parts" : [ [ "2013", "11", "14" ] ] }, "page" : "1892-903", "title" : "Combined angiotensin inhibition for the treatment of diabetic nephropathy.", "type" : "article-journal", "volume" : "369" }, "uris" : [ "http://www.mendeley.com/documents/?uuid=2a458af2-5a60-4f5f-8779-ef0b2eca671b" ] }, { "id" : "ITEM-3", "itemData" : { "DOI" : "10.1038/sj.ki.5002455", "ISSN" : "0085-2538", "PMID" : "17667984", "abstract" : "Microalbuminuria independently predicts increased cardiovascular risk in hypertensive patients, especially in those with concomitant diabetes or established cardiovascular disease. Drugs that target the renin-angiotensin-aldosterone system reduce microalbuminuria regardless of diabetic status. The Irbesartan in the Management of PROteinuric patients at high risk for Vascular Events was a multicenter, randomized, double-blind, placebo-controlled paralleled group study in which hypertensive patients with microalbuminuria and increased cardiovascular risk were randomized to 20 weeks treatment with ramipril plus irbesartan or to ramipril plus placebo. Patients discontinued or tapered previous antihypertensive therapy during a 14-day placebo lead-in period. Change in albumin excretion rate from baseline to week 20 was the primary end point. Adjusted week 20 baseline geometric ratios for ramipril plus irbesartan and ramipril plus placebo were not significantly different. Although differences in blood pressure reductions were observed between the two treatments, these changes did not affect microalbuminuria. More patients on dual therapy achieved target blood pressure goals at week 20 than with monotherapy. The incidence of adverse effects and treatment-related adverse effects was similar in both groups. Our results suggest that patients with cardiovascular risk and relatively low albumin excretion rates in early-stage disease may only require monotherapy with renin-angiotensin-aldosterone blocking agents.", "author" : [ { "dropping-particle" : "", "family" : "Bakris", "given" : "G L", "non-dropping-particle" : "", "parse-names" : false, "suffix" : "" }, { "dropping-particle" : "", "family" : "Ruilope", "given" : "L", "non-dropping-particle" : "", "parse-names" : false, "suffix" : "" }, { "dropping-particle" : "", "family" : "Locatelli", "given" : "F", "non-dropping-particle" : "", "parse-names" : false, "suffix" : "" }, { "dropping-particle" : "", "family" : "Ptaszynska", "given" : "a", "non-dropping-particle" : "", "parse-names" : false, "suffix" : "" }, { "dropping-particle" : "", "family" : "Pieske", "given" : "B", "non-dropping-particle" : "", "parse-names" : false, "suffix" : "" }, { "dropping-particle" : "", "family" : "Champlain", "given" : "J", "non-dropping-particle" : "de", "parse-names" : false, "suffix" : "" }, { "dropping-particle" : "", "family" : "Weber", "given" : "M a", "non-dropping-particle" : "", "parse-names" : false, "suffix" : "" }, { "dropping-particle" : "", "family" : "Raz", "given" : "I", "non-dropping-particle" : "", "parse-names" : false, "suffix" : "" } ], "container-title" : "Kidney international", "id" : "ITEM-3", "issue" : "7", "issued" : { "date-parts" : [ [ "2007", "10" ] ] }, "page" : "879-85", "title" : "Treatment of microalbuminuria in hypertensive subjects with elevated cardiovascular risk: results of the IMPROVE trial.", "type" : "article-journal", "volume" : "72" }, "uris" : [ "http://www.mendeley.com/documents/?uuid=0ab611db-134b-4bcc-82f4-643e09215fa8" ] }, { "id" : "ITEM-4", "itemData" : { "DOI" : "10.1177/1470320311434818", "ISSN" : "1752-8976", "PMID" : "22333485", "abstract" : "INTRODUCTION: Patients with type 2 diabetes are at enhanced risk for macro- and microvascular complications. Albuminuria and/or reduced kidney function further enhances the vascular risk. We initiated the Aliskiren Trial in Type 2 Diabetes Using Cardio-Renal Endpoints (ALTITUDE). Aliskiren, a novel direct renin inhibitor, which lowers plasma renin activity, may thereby provide greater cardio-renal protection compared with angiotensin converting enzyme inhibitor (ACEi) or angiotensin receptor blocker (ARB) alone.\n\nMATERIALS AND METHODS: ALTITUDE is a randomized, double-blind, placebo-controlled study in high risk type 2 diabetic patients receiving aliskiren 300 mg once daily or placebo added to recommended cardio-renal protective treatment including ACEi or ARB, but not both. The number of patients randomized was 8606.\n\nRESULTS: Baseline characteristics (median, IQR) are: age 65 (58, 72) years, male 68%, BMI 29.1 (25.7, 32.2) kg/m(2), cardiovascular disease 47.9%, blood pressure 134.7 (126, 150)/74.3 (67, 81) mmHg, HbA(1c) 7.5 (6.6, 8.6)%, LDL-cholesterol 2.4 (1.9, 3.0) mmol/L, haemoglobin 130 (119, 143) g/L, serum creatinine 115 (91, 137) \u00b5mol/L, eGFR 51.7 (42, 65) ml/min per 1.73 m(2), geometric mean UACR 198.9 (52, 2886) mg/g and frequency of micro/macroalbuminuria 25.7% and 58.2%. ALTITUDE is an event-driven trial to continue until 1628 patients experience a primary cardiovascular-renal event.\n\nCONCLUSIONS: ALTITUDE will determine the potential cardio-renal benefit and safety of aliskiren in combination with ACEi or ARB in high risk patients with type 2 diabetes.", "author" : [ { "dropping-particle" : "", "family" : "Parving", "given" : "Hans-Henrik", "non-dropping-particle" : "", "parse-names" : false, "suffix" : "" }, { "dropping-particle" : "", "family" : "Brenner", "given" : "Barry M", "non-dropping-particle" : "", "parse-names" : false, "suffix" : "" }, { "dropping-particle" : "V", "family" : "McMurray", "given" : "John J", "non-dropping-particle" : "", "parse-names" : false, "suffix" : "" }, { "dropping-particle" : "", "family" : "Zeeuw", "given" : "Dick", "non-dropping-particle" : "de", "parse-names" : false, "suffix" : "" }, { "dropping-particle" : "", "family" : "Haffner", "given" : "Steven M", "non-dropping-particle" : "", "parse-names" : false, "suffix" : "" }, { "dropping-particle" : "", "family" : "Solomon", "given" : "Scott D", "non-dropping-particle" : "", "parse-names" : false, "suffix" : "" }, { "dropping-particle" : "", "family" : "Chaturvedi", "given" : "Nish", "non-dropping-particle" : "", "parse-names" : false, "suffix" : "" }, { "dropping-particle" : "", "family" : "Persson", "given" : "Frederik", "non-dropping-particle" : "", "parse-names" : false, "suffix" : "" }, { "dropping-particle" : "", "family" : "Nicolaides", "given" : "Maria", "non-dropping-particle" : "", "parse-names" : false, "suffix" : "" }, { "dropping-particle" : "", "family" : "Richard", "given" : "Alexia", "non-dropping-particle" : "", "parse-names" : false, "suffix" : "" }, { "dropping-particle" : "", "family" : "Xiang", "given" : "Zhihua", "non-dropping-particle" : "", "parse-names" : false, "suffix" : "" }, { "dropping-particle" : "", "family" : "Armbrecht", "given" : "Juergen", "non-dropping-particle" : "", "parse-names" : false, "suffix" : "" }, { "dropping-particle" : "", "family" : "Pfeffer", "given" : "Marc a", "non-dropping-particle" : "", "parse-names" : false, "suffix" : "" } ], "container-title" : "Journal of the renin-angiotensin-aldosterone system : JRAAS", "id" : "ITEM-4", "issue" : "3", "issued" : { "date-parts" : [ [ "2012", "9" ] ] }, "page" : "387-93", "title" : "Baseline characteristics in the Aliskiren Trial in Type 2 Diabetes Using Cardio-Renal Endpoints (ALTITUDE).", "type" : "article-journal", "volume" : "13" }, "uris" : [ "http://www.mendeley.com/documents/?uuid=a9f2cffd-d962-4a34-aae9-6040ff3a1be6" ] } ], "mendeley" : { "previouslyFormattedCitation" : "[Mann \u0438 \u0434\u0440., 2008; Bakris \u0438 \u0434\u0440., 2007; Fried \u0438 \u0434\u0440., 2013a; Parving \u0438 \u0434\u0440., 2012]"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[Mann и др., 2008; Bakris и др., 2007; Fried и др., 2013a; Parving и др., 2012]</w:t>
      </w:r>
      <w:r w:rsidR="009D7C63" w:rsidRPr="0044196C">
        <w:rPr>
          <w:color w:val="000000" w:themeColor="text1"/>
        </w:rPr>
        <w:fldChar w:fldCharType="end"/>
      </w:r>
      <w:r w:rsidR="00ED6923" w:rsidRPr="0044196C">
        <w:rPr>
          <w:color w:val="000000" w:themeColor="text1"/>
        </w:rPr>
        <w:t xml:space="preserve"> такая тактика не обладает преимуществом перед монотерапией ИАПФ или БРА в отношении почечных исходов и общей выживаемости и при этом связана со значительным повышением риска побочных эффектов</w:t>
      </w:r>
      <w:r w:rsidR="00CE763B" w:rsidRPr="0044196C">
        <w:rPr>
          <w:color w:val="000000" w:themeColor="text1"/>
        </w:rPr>
        <w:t xml:space="preserve">. </w:t>
      </w:r>
      <w:r w:rsidR="00ED6923" w:rsidRPr="0044196C">
        <w:rPr>
          <w:color w:val="000000" w:themeColor="text1"/>
        </w:rPr>
        <w:t>Так, в</w:t>
      </w:r>
      <w:r w:rsidR="00CE763B" w:rsidRPr="0044196C">
        <w:rPr>
          <w:color w:val="000000" w:themeColor="text1"/>
        </w:rPr>
        <w:t xml:space="preserve"> исследовани</w:t>
      </w:r>
      <w:r w:rsidR="00ED6923" w:rsidRPr="0044196C">
        <w:rPr>
          <w:color w:val="000000" w:themeColor="text1"/>
        </w:rPr>
        <w:t>и</w:t>
      </w:r>
      <w:r w:rsidR="00D77736" w:rsidRPr="0044196C">
        <w:rPr>
          <w:color w:val="000000" w:themeColor="text1"/>
        </w:rPr>
        <w:t xml:space="preserve"> </w:t>
      </w:r>
      <w:r w:rsidR="00CE763B" w:rsidRPr="0044196C">
        <w:rPr>
          <w:color w:val="000000" w:themeColor="text1"/>
          <w:lang w:val="en-US"/>
        </w:rPr>
        <w:t>NEPHRON</w:t>
      </w:r>
      <w:r w:rsidR="00CE763B" w:rsidRPr="0044196C">
        <w:rPr>
          <w:color w:val="000000" w:themeColor="text1"/>
        </w:rPr>
        <w:t>-</w:t>
      </w:r>
      <w:r w:rsidR="00CE763B" w:rsidRPr="0044196C">
        <w:rPr>
          <w:color w:val="000000" w:themeColor="text1"/>
          <w:lang w:val="en-US"/>
        </w:rPr>
        <w:t>D</w:t>
      </w:r>
      <w:r w:rsidR="00D77736" w:rsidRPr="0044196C">
        <w:rPr>
          <w:color w:val="000000" w:themeColor="text1"/>
        </w:rPr>
        <w:t xml:space="preserve"> </w:t>
      </w:r>
      <w:r w:rsidR="009D7C63" w:rsidRPr="0044196C">
        <w:rPr>
          <w:color w:val="000000" w:themeColor="text1"/>
          <w:lang w:val="en-US"/>
        </w:rPr>
        <w:fldChar w:fldCharType="begin" w:fldLock="1"/>
      </w:r>
      <w:r w:rsidR="00EA3B99" w:rsidRPr="0044196C">
        <w:rPr>
          <w:color w:val="000000" w:themeColor="text1"/>
          <w:lang w:val="en-US"/>
        </w:rPr>
        <w:instrText>ADDIN CSL_CITATION { "citationItems" : [ { "id" : "ITEM-1", "itemData" : { "DOI" : "10.1056/NEJMoa1303154", "ISSN" : "1533-4406", "PMID" : "24206457", "abstract" : "BACKGROUND: Combination therapy with angiotensin-converting-enzyme (ACE) inhibitors and angiotensin-receptor blockers (ARBs) decreases proteinuria; however, its safety and effect on the progression of kidney disease are uncertain. Methods We provided losartan (at a dose of 100 mg per day) to patients with type 2 diabetes, a urinary albumin-to-creatinine ratio (with albumin measured in milligrams and creatinine measured in grams) of at least 300, and an estimated glomerular filtration rate (GFR) of 30.0 to 89.9 ml per minute per 1.73 m(2) of body-surface area and then randomly assigned them to receive lisinopril (at a dose of 10 to 40 mg per day) or placebo. The primary end point was the first occurrence of a change in the estimated GFR (a decline of \u2265 30 ml per minute per 1.73 m(2) if the initial estimated GFR was \u2265 60 ml per minute per 1.73 m(2) or a decline of \u2265 50% if the initial estimated GFR was &lt;60 ml per minute per 1.73 m(2)), end-stage renal disease (ESRD), or death. The secondary renal end point was the first occurrence of a decline in the estimated GFR or ESRD. Safety outcomes included mortality, hyperkalemia, and acute kidney injury. Results The study was stopped early owing to safety concerns. Among 1448 randomly assigned patients with a median follow-up of 2.2 years, there were 152 primary end-point events in the monotherapy group and 132 in the combination-therapy group (hazard ratio with combination therapy, 0.88; 95% confidence interval [CI], 0.70 to 1.12; P=0.30). A trend toward a benefit from combination therapy with respect to the secondary end point (hazard ratio, 0.78; 95% CI, 0.58 to 1.05; P=0.10) decreased with time (P=0.02 for nonproportionality). There was no benefit with respect to mortality (hazard ratio for death, 1.04; 95% CI, 0.73 to 1.49; P=0.75) or cardiovascular events. Combination therapy increased the risk of hyperkalemia (6.3 events per 100 person-years, vs. 2.6 events per 100 person-years with monotherapy; P&lt;0.001) and acute kidney injury (12.2 vs. 6.7 events per 100 person-years, P&lt;0.001). Conclusions Combination therapy with an ACE inhibitor and an ARB was associated with an increased risk of adverse events among patients with diabetic nephropathy. (Funded by the Cooperative Studies Program of the Department of Veterans Affairs Office of Research and Development; VA NEPHRON-D ClinicalTrials.gov number, NCT00555217.).", "author" : [ { "dropping-particle" : "", "family" : "Fried", "given" : "Linda F", "non-dropping-particle" : "", "parse-names" : false, "suffix" : "" }, { "dropping-particle" : "", "family" : "Emanuele", "given" : "Nicholas", "non-dropping-particle" : "", "parse-names" : false, "suffix" : "" }, { "dropping-particle" : "", "family" : "Zhang", "given" : "Jane H", "non-dropping-particle" : "", "parse-names" : false, "suffix" : "" }, { "dropping-particle" : "", "family" : "Brophy", "given" : "Mary", "non-dropping-particle" : "", "parse-names" : false, "suffix" : "" }, { "dropping-particle" : "", "family" : "Conner", "given" : "Todd a", "non-dropping-particle" : "", "parse-names" : false, "suffix" : "" }, { "dropping-particle" : "", "family" : "Duckworth", "given" : "William", "non-dropping-particle" : "", "parse-names" : false, "suffix" : "" }, { "dropping-particle" : "", "family" : "Leehey", "given" : "David J", "non-dropping-particle" : "", "parse-names" : false, "suffix" : "" }, { "dropping-particle" : "", "family" : "McCullough", "given" : "Peter a", "non-dropping-particle" : "", "parse-names" : false, "suffix" : "" }, { "dropping-particle" : "", "family" : "O'Connor", "given" : "Theresa", "non-dropping-particle" : "", "parse-names" : false, "suffix" : "" }, { "dropping-particle" : "", "family" : "Palevsky", "given" : "Paul M", "non-dropping-particle" : "", "parse-names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Reilly</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Robert</w:instrText>
      </w:r>
      <w:r w:rsidR="00EA3B99" w:rsidRPr="0044196C">
        <w:rPr>
          <w:color w:val="000000" w:themeColor="text1"/>
        </w:rPr>
        <w:instrText xml:space="preserve"> </w:instrText>
      </w:r>
      <w:r w:rsidR="00EA3B99" w:rsidRPr="0044196C">
        <w:rPr>
          <w:color w:val="000000" w:themeColor="text1"/>
          <w:lang w:val="en-US"/>
        </w:rPr>
        <w:instrText>F</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Seliger</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Stephen</w:instrText>
      </w:r>
      <w:r w:rsidR="00EA3B99" w:rsidRPr="0044196C">
        <w:rPr>
          <w:color w:val="000000" w:themeColor="text1"/>
        </w:rPr>
        <w:instrText xml:space="preserve"> </w:instrText>
      </w:r>
      <w:r w:rsidR="00EA3B99" w:rsidRPr="0044196C">
        <w:rPr>
          <w:color w:val="000000" w:themeColor="text1"/>
          <w:lang w:val="en-US"/>
        </w:rPr>
        <w:instrText>L</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Warren</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Stuart</w:instrText>
      </w:r>
      <w:r w:rsidR="00EA3B99" w:rsidRPr="0044196C">
        <w:rPr>
          <w:color w:val="000000" w:themeColor="text1"/>
        </w:rPr>
        <w:instrText xml:space="preserve"> </w:instrText>
      </w:r>
      <w:r w:rsidR="00EA3B99" w:rsidRPr="0044196C">
        <w:rPr>
          <w:color w:val="000000" w:themeColor="text1"/>
          <w:lang w:val="en-US"/>
        </w:rPr>
        <w:instrText>R</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Watnick</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Suzanne</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Peduzzi</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Peter</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Guarino</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Peter</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New</w:instrText>
      </w:r>
      <w:r w:rsidR="00EA3B99" w:rsidRPr="0044196C">
        <w:rPr>
          <w:color w:val="000000" w:themeColor="text1"/>
        </w:rPr>
        <w:instrText xml:space="preserve"> </w:instrText>
      </w:r>
      <w:r w:rsidR="00EA3B99" w:rsidRPr="0044196C">
        <w:rPr>
          <w:color w:val="000000" w:themeColor="text1"/>
          <w:lang w:val="en-US"/>
        </w:rPr>
        <w:instrText>England</w:instrText>
      </w:r>
      <w:r w:rsidR="00EA3B99" w:rsidRPr="0044196C">
        <w:rPr>
          <w:color w:val="000000" w:themeColor="text1"/>
        </w:rPr>
        <w:instrText xml:space="preserve"> </w:instrText>
      </w:r>
      <w:r w:rsidR="00EA3B99" w:rsidRPr="0044196C">
        <w:rPr>
          <w:color w:val="000000" w:themeColor="text1"/>
          <w:lang w:val="en-US"/>
        </w:rPr>
        <w:instrText>journal</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medicine</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issue</w:instrText>
      </w:r>
      <w:r w:rsidR="00EA3B99" w:rsidRPr="0044196C">
        <w:rPr>
          <w:color w:val="000000" w:themeColor="text1"/>
        </w:rPr>
        <w:instrText>" : "20",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"2013", "11", "14" ] ] }, "</w:instrText>
      </w:r>
      <w:r w:rsidR="00EA3B99" w:rsidRPr="0044196C">
        <w:rPr>
          <w:color w:val="000000" w:themeColor="text1"/>
          <w:lang w:val="en-US"/>
        </w:rPr>
        <w:instrText>page</w:instrText>
      </w:r>
      <w:r w:rsidR="00EA3B99" w:rsidRPr="0044196C">
        <w:rPr>
          <w:color w:val="000000" w:themeColor="text1"/>
        </w:rPr>
        <w:instrText>" : "1892-903",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Combined</w:instrText>
      </w:r>
      <w:r w:rsidR="00EA3B99" w:rsidRPr="0044196C">
        <w:rPr>
          <w:color w:val="000000" w:themeColor="text1"/>
        </w:rPr>
        <w:instrText xml:space="preserve"> </w:instrText>
      </w:r>
      <w:r w:rsidR="00EA3B99" w:rsidRPr="0044196C">
        <w:rPr>
          <w:color w:val="000000" w:themeColor="text1"/>
          <w:lang w:val="en-US"/>
        </w:rPr>
        <w:instrText>angiotensin</w:instrText>
      </w:r>
      <w:r w:rsidR="00EA3B99" w:rsidRPr="0044196C">
        <w:rPr>
          <w:color w:val="000000" w:themeColor="text1"/>
        </w:rPr>
        <w:instrText xml:space="preserve"> </w:instrText>
      </w:r>
      <w:r w:rsidR="00EA3B99" w:rsidRPr="0044196C">
        <w:rPr>
          <w:color w:val="000000" w:themeColor="text1"/>
          <w:lang w:val="en-US"/>
        </w:rPr>
        <w:instrText>inhibition</w:instrText>
      </w:r>
      <w:r w:rsidR="00EA3B99" w:rsidRPr="0044196C">
        <w:rPr>
          <w:color w:val="000000" w:themeColor="text1"/>
        </w:rPr>
        <w:instrText xml:space="preserve"> </w:instrText>
      </w:r>
      <w:r w:rsidR="00EA3B99" w:rsidRPr="0044196C">
        <w:rPr>
          <w:color w:val="000000" w:themeColor="text1"/>
          <w:lang w:val="en-US"/>
        </w:rPr>
        <w:instrText>for</w:instrText>
      </w:r>
      <w:r w:rsidR="00EA3B99" w:rsidRPr="0044196C">
        <w:rPr>
          <w:color w:val="000000" w:themeColor="text1"/>
        </w:rPr>
        <w:instrText xml:space="preserve"> </w:instrText>
      </w:r>
      <w:r w:rsidR="00EA3B99" w:rsidRPr="0044196C">
        <w:rPr>
          <w:color w:val="000000" w:themeColor="text1"/>
          <w:lang w:val="en-US"/>
        </w:rPr>
        <w:instrText>the</w:instrText>
      </w:r>
      <w:r w:rsidR="00EA3B99" w:rsidRPr="0044196C">
        <w:rPr>
          <w:color w:val="000000" w:themeColor="text1"/>
        </w:rPr>
        <w:instrText xml:space="preserve"> </w:instrText>
      </w:r>
      <w:r w:rsidR="00EA3B99" w:rsidRPr="0044196C">
        <w:rPr>
          <w:color w:val="000000" w:themeColor="text1"/>
          <w:lang w:val="en-US"/>
        </w:rPr>
        <w:instrText>treatment</w:instrText>
      </w:r>
      <w:r w:rsidR="00EA3B99" w:rsidRPr="0044196C">
        <w:rPr>
          <w:color w:val="000000" w:themeColor="text1"/>
        </w:rPr>
        <w:instrText xml:space="preserve"> </w:instrText>
      </w:r>
      <w:r w:rsidR="00EA3B99" w:rsidRPr="0044196C">
        <w:rPr>
          <w:color w:val="000000" w:themeColor="text1"/>
          <w:lang w:val="en-US"/>
        </w:rPr>
        <w:instrText>of</w:instrText>
      </w:r>
      <w:r w:rsidR="00EA3B99" w:rsidRPr="0044196C">
        <w:rPr>
          <w:color w:val="000000" w:themeColor="text1"/>
        </w:rPr>
        <w:instrText xml:space="preserve"> </w:instrText>
      </w:r>
      <w:r w:rsidR="00EA3B99" w:rsidRPr="0044196C">
        <w:rPr>
          <w:color w:val="000000" w:themeColor="text1"/>
          <w:lang w:val="en-US"/>
        </w:rPr>
        <w:instrText>diabetic</w:instrText>
      </w:r>
      <w:r w:rsidR="00EA3B99" w:rsidRPr="0044196C">
        <w:rPr>
          <w:color w:val="000000" w:themeColor="text1"/>
        </w:rPr>
        <w:instrText xml:space="preserve"> </w:instrText>
      </w:r>
      <w:r w:rsidR="00EA3B99" w:rsidRPr="0044196C">
        <w:rPr>
          <w:color w:val="000000" w:themeColor="text1"/>
          <w:lang w:val="en-US"/>
        </w:rPr>
        <w:instrText>nephropathy</w:instrText>
      </w:r>
      <w:r w:rsidR="00EA3B99" w:rsidRPr="0044196C">
        <w:rPr>
          <w:color w:val="000000" w:themeColor="text1"/>
        </w:rPr>
        <w:instrText>.",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"369"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w:instrText>
      </w:r>
      <w:r w:rsidR="00EA3B99" w:rsidRPr="0044196C">
        <w:rPr>
          <w:color w:val="000000" w:themeColor="text1"/>
          <w:lang w:val="en-US"/>
        </w:rPr>
        <w:instrText>fce</w:instrText>
      </w:r>
      <w:r w:rsidR="00EA3B99" w:rsidRPr="0044196C">
        <w:rPr>
          <w:color w:val="000000" w:themeColor="text1"/>
        </w:rPr>
        <w:instrText>7</w:instrText>
      </w:r>
      <w:r w:rsidR="00EA3B99" w:rsidRPr="0044196C">
        <w:rPr>
          <w:color w:val="000000" w:themeColor="text1"/>
          <w:lang w:val="en-US"/>
        </w:rPr>
        <w:instrText>db</w:instrText>
      </w:r>
      <w:r w:rsidR="00EA3B99" w:rsidRPr="0044196C">
        <w:rPr>
          <w:color w:val="000000" w:themeColor="text1"/>
        </w:rPr>
        <w:instrText>34-</w:instrText>
      </w:r>
      <w:r w:rsidR="00EA3B99" w:rsidRPr="0044196C">
        <w:rPr>
          <w:color w:val="000000" w:themeColor="text1"/>
          <w:lang w:val="en-US"/>
        </w:rPr>
        <w:instrText>be</w:instrText>
      </w:r>
      <w:r w:rsidR="00EA3B99" w:rsidRPr="0044196C">
        <w:rPr>
          <w:color w:val="000000" w:themeColor="text1"/>
        </w:rPr>
        <w:instrText>3</w:instrText>
      </w:r>
      <w:r w:rsidR="00EA3B99" w:rsidRPr="0044196C">
        <w:rPr>
          <w:color w:val="000000" w:themeColor="text1"/>
          <w:lang w:val="en-US"/>
        </w:rPr>
        <w:instrText>a</w:instrText>
      </w:r>
      <w:r w:rsidR="00EA3B99" w:rsidRPr="0044196C">
        <w:rPr>
          <w:color w:val="000000" w:themeColor="text1"/>
        </w:rPr>
        <w:instrText>-4</w:instrText>
      </w:r>
      <w:r w:rsidR="00EA3B99" w:rsidRPr="0044196C">
        <w:rPr>
          <w:color w:val="000000" w:themeColor="text1"/>
          <w:lang w:val="en-US"/>
        </w:rPr>
        <w:instrText>d</w:instrText>
      </w:r>
      <w:r w:rsidR="00EA3B99" w:rsidRPr="0044196C">
        <w:rPr>
          <w:color w:val="000000" w:themeColor="text1"/>
        </w:rPr>
        <w:instrText>72-</w:instrText>
      </w:r>
      <w:r w:rsidR="00EA3B99" w:rsidRPr="0044196C">
        <w:rPr>
          <w:color w:val="000000" w:themeColor="text1"/>
          <w:lang w:val="en-US"/>
        </w:rPr>
        <w:instrText>a</w:instrText>
      </w:r>
      <w:r w:rsidR="00EA3B99" w:rsidRPr="0044196C">
        <w:rPr>
          <w:color w:val="000000" w:themeColor="text1"/>
        </w:rPr>
        <w:instrText>4</w:instrText>
      </w:r>
      <w:r w:rsidR="00EA3B99" w:rsidRPr="0044196C">
        <w:rPr>
          <w:color w:val="000000" w:themeColor="text1"/>
          <w:lang w:val="en-US"/>
        </w:rPr>
        <w:instrText>fe</w:instrText>
      </w:r>
      <w:r w:rsidR="00EA3B99" w:rsidRPr="0044196C">
        <w:rPr>
          <w:color w:val="000000" w:themeColor="text1"/>
        </w:rPr>
        <w:instrText>-8</w:instrText>
      </w:r>
      <w:r w:rsidR="00EA3B99" w:rsidRPr="0044196C">
        <w:rPr>
          <w:color w:val="000000" w:themeColor="text1"/>
          <w:lang w:val="en-US"/>
        </w:rPr>
        <w:instrText>bb</w:instrText>
      </w:r>
      <w:r w:rsidR="00EA3B99" w:rsidRPr="0044196C">
        <w:rPr>
          <w:color w:val="000000" w:themeColor="text1"/>
        </w:rPr>
        <w:instrText>171</w:instrText>
      </w:r>
      <w:r w:rsidR="00EA3B99" w:rsidRPr="0044196C">
        <w:rPr>
          <w:color w:val="000000" w:themeColor="text1"/>
          <w:lang w:val="en-US"/>
        </w:rPr>
        <w:instrText>c</w:instrText>
      </w:r>
      <w:r w:rsidR="00EA3B99" w:rsidRPr="0044196C">
        <w:rPr>
          <w:color w:val="000000" w:themeColor="text1"/>
        </w:rPr>
        <w:instrText>9157</w:instrText>
      </w:r>
      <w:r w:rsidR="00EA3B99" w:rsidRPr="0044196C">
        <w:rPr>
          <w:color w:val="000000" w:themeColor="text1"/>
          <w:lang w:val="en-US"/>
        </w:rPr>
        <w:instrText>d</w:instrText>
      </w:r>
      <w:r w:rsidR="00EA3B99" w:rsidRPr="0044196C">
        <w:rPr>
          <w:color w:val="000000" w:themeColor="text1"/>
        </w:rPr>
        <w:instrText>" ] } ], "</w:instrText>
      </w:r>
      <w:r w:rsidR="00EA3B99" w:rsidRPr="0044196C">
        <w:rPr>
          <w:color w:val="000000" w:themeColor="text1"/>
          <w:lang w:val="en-US"/>
        </w:rPr>
        <w:instrText>mendeley</w:instrText>
      </w:r>
      <w:r w:rsidR="00EA3B99" w:rsidRPr="0044196C">
        <w:rPr>
          <w:color w:val="000000" w:themeColor="text1"/>
        </w:rPr>
        <w:instrText>" : { "</w:instrText>
      </w:r>
      <w:r w:rsidR="00EA3B99" w:rsidRPr="0044196C">
        <w:rPr>
          <w:color w:val="000000" w:themeColor="text1"/>
          <w:lang w:val="en-US"/>
        </w:rPr>
        <w:instrText>previouslyFormattedCitation</w:instrText>
      </w:r>
      <w:r w:rsidR="00EA3B99" w:rsidRPr="0044196C">
        <w:rPr>
          <w:color w:val="000000" w:themeColor="text1"/>
        </w:rPr>
        <w:instrText>" : "[</w:instrText>
      </w:r>
      <w:r w:rsidR="00EA3B99" w:rsidRPr="0044196C">
        <w:rPr>
          <w:color w:val="000000" w:themeColor="text1"/>
          <w:lang w:val="en-US"/>
        </w:rPr>
        <w:instrText>Fried</w:instrText>
      </w:r>
      <w:r w:rsidR="00EA3B99" w:rsidRPr="0044196C">
        <w:rPr>
          <w:color w:val="000000" w:themeColor="text1"/>
        </w:rPr>
        <w:instrText xml:space="preserve"> \</w:instrText>
      </w:r>
      <w:r w:rsidR="00EA3B99" w:rsidRPr="0044196C">
        <w:rPr>
          <w:color w:val="000000" w:themeColor="text1"/>
          <w:lang w:val="en-US"/>
        </w:rPr>
        <w:instrText>u</w:instrText>
      </w:r>
      <w:r w:rsidR="00EA3B99" w:rsidRPr="0044196C">
        <w:rPr>
          <w:color w:val="000000" w:themeColor="text1"/>
        </w:rPr>
        <w:instrText>0438 \</w:instrText>
      </w:r>
      <w:r w:rsidR="00EA3B99" w:rsidRPr="0044196C">
        <w:rPr>
          <w:color w:val="000000" w:themeColor="text1"/>
          <w:lang w:val="en-US"/>
        </w:rPr>
        <w:instrText>u</w:instrText>
      </w:r>
      <w:r w:rsidR="00EA3B99" w:rsidRPr="0044196C">
        <w:rPr>
          <w:color w:val="000000" w:themeColor="text1"/>
        </w:rPr>
        <w:instrText>0434\</w:instrText>
      </w:r>
      <w:r w:rsidR="00EA3B99" w:rsidRPr="0044196C">
        <w:rPr>
          <w:color w:val="000000" w:themeColor="text1"/>
          <w:lang w:val="en-US"/>
        </w:rPr>
        <w:instrText>u</w:instrText>
      </w:r>
      <w:r w:rsidR="00EA3B99" w:rsidRPr="0044196C">
        <w:rPr>
          <w:color w:val="000000" w:themeColor="text1"/>
        </w:rPr>
        <w:instrText>0440., 2013</w:instrText>
      </w:r>
      <w:r w:rsidR="00EA3B99" w:rsidRPr="0044196C">
        <w:rPr>
          <w:color w:val="000000" w:themeColor="text1"/>
          <w:lang w:val="en-US"/>
        </w:rPr>
        <w:instrText>b</w:instrText>
      </w:r>
      <w:r w:rsidR="00EA3B99" w:rsidRPr="0044196C">
        <w:rPr>
          <w:color w:val="000000" w:themeColor="text1"/>
        </w:rPr>
        <w:instrText>]" }, "</w:instrText>
      </w:r>
      <w:r w:rsidR="00EA3B99" w:rsidRPr="0044196C">
        <w:rPr>
          <w:color w:val="000000" w:themeColor="text1"/>
          <w:lang w:val="en-US"/>
        </w:rPr>
        <w:instrText>properties</w:instrText>
      </w:r>
      <w:r w:rsidR="00EA3B99" w:rsidRPr="0044196C">
        <w:rPr>
          <w:color w:val="000000" w:themeColor="text1"/>
        </w:rPr>
        <w:instrText>" : { "</w:instrText>
      </w:r>
      <w:r w:rsidR="00EA3B99" w:rsidRPr="0044196C">
        <w:rPr>
          <w:color w:val="000000" w:themeColor="text1"/>
          <w:lang w:val="en-US"/>
        </w:rPr>
        <w:instrText>noteIndex</w:instrText>
      </w:r>
      <w:r w:rsidR="00EA3B99" w:rsidRPr="0044196C">
        <w:rPr>
          <w:color w:val="000000" w:themeColor="text1"/>
        </w:rPr>
        <w:instrText>" : 0 }, "</w:instrText>
      </w:r>
      <w:r w:rsidR="00EA3B99" w:rsidRPr="0044196C">
        <w:rPr>
          <w:color w:val="000000" w:themeColor="text1"/>
          <w:lang w:val="en-US"/>
        </w:rPr>
        <w:instrText>schema</w:instrText>
      </w:r>
      <w:r w:rsidR="00EA3B99" w:rsidRPr="0044196C">
        <w:rPr>
          <w:color w:val="000000" w:themeColor="text1"/>
        </w:rPr>
        <w:instrText>" : "</w:instrText>
      </w:r>
      <w:r w:rsidR="00EA3B99" w:rsidRPr="0044196C">
        <w:rPr>
          <w:color w:val="000000" w:themeColor="text1"/>
          <w:lang w:val="en-US"/>
        </w:rPr>
        <w:instrText>https</w:instrText>
      </w:r>
      <w:r w:rsidR="00EA3B99" w:rsidRPr="0044196C">
        <w:rPr>
          <w:color w:val="000000" w:themeColor="text1"/>
        </w:rPr>
        <w:instrText>://</w:instrText>
      </w:r>
      <w:r w:rsidR="00EA3B99" w:rsidRPr="0044196C">
        <w:rPr>
          <w:color w:val="000000" w:themeColor="text1"/>
          <w:lang w:val="en-US"/>
        </w:rPr>
        <w:instrText>github</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style</w:instrText>
      </w:r>
      <w:r w:rsidR="00EA3B99" w:rsidRPr="0044196C">
        <w:rPr>
          <w:color w:val="000000" w:themeColor="text1"/>
        </w:rPr>
        <w:instrText>-</w:instrText>
      </w:r>
      <w:r w:rsidR="00EA3B99" w:rsidRPr="0044196C">
        <w:rPr>
          <w:color w:val="000000" w:themeColor="text1"/>
          <w:lang w:val="en-US"/>
        </w:rPr>
        <w:instrText>language</w:instrText>
      </w:r>
      <w:r w:rsidR="00EA3B99" w:rsidRPr="0044196C">
        <w:rPr>
          <w:color w:val="000000" w:themeColor="text1"/>
        </w:rPr>
        <w:instrText>/</w:instrText>
      </w:r>
      <w:r w:rsidR="00EA3B99" w:rsidRPr="0044196C">
        <w:rPr>
          <w:color w:val="000000" w:themeColor="text1"/>
          <w:lang w:val="en-US"/>
        </w:rPr>
        <w:instrText>schema</w:instrText>
      </w:r>
      <w:r w:rsidR="00EA3B99" w:rsidRPr="0044196C">
        <w:rPr>
          <w:color w:val="000000" w:themeColor="text1"/>
        </w:rPr>
        <w:instrText>/</w:instrText>
      </w:r>
      <w:r w:rsidR="00EA3B99" w:rsidRPr="0044196C">
        <w:rPr>
          <w:color w:val="000000" w:themeColor="text1"/>
          <w:lang w:val="en-US"/>
        </w:rPr>
        <w:instrText>raw</w:instrText>
      </w:r>
      <w:r w:rsidR="00EA3B99" w:rsidRPr="0044196C">
        <w:rPr>
          <w:color w:val="000000" w:themeColor="text1"/>
        </w:rPr>
        <w:instrText>/</w:instrText>
      </w:r>
      <w:r w:rsidR="00EA3B99" w:rsidRPr="0044196C">
        <w:rPr>
          <w:color w:val="000000" w:themeColor="text1"/>
          <w:lang w:val="en-US"/>
        </w:rPr>
        <w:instrText>master</w:instrText>
      </w:r>
      <w:r w:rsidR="00EA3B99" w:rsidRPr="0044196C">
        <w:rPr>
          <w:color w:val="000000" w:themeColor="text1"/>
        </w:rPr>
        <w:instrText>/</w:instrText>
      </w:r>
      <w:r w:rsidR="00EA3B99" w:rsidRPr="0044196C">
        <w:rPr>
          <w:color w:val="000000" w:themeColor="text1"/>
          <w:lang w:val="en-US"/>
        </w:rPr>
        <w:instrText>csl</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json</w:instrText>
      </w:r>
      <w:r w:rsidR="00EA3B99" w:rsidRPr="0044196C">
        <w:rPr>
          <w:color w:val="000000" w:themeColor="text1"/>
        </w:rPr>
        <w:instrText>" }</w:instrText>
      </w:r>
      <w:r w:rsidR="009D7C63" w:rsidRPr="0044196C">
        <w:rPr>
          <w:color w:val="000000" w:themeColor="text1"/>
          <w:lang w:val="en-US"/>
        </w:rPr>
        <w:fldChar w:fldCharType="separate"/>
      </w:r>
      <w:r w:rsidR="00EA3B99" w:rsidRPr="0044196C">
        <w:rPr>
          <w:noProof/>
          <w:color w:val="000000" w:themeColor="text1"/>
        </w:rPr>
        <w:t>[Fried и др., 2013b]</w:t>
      </w:r>
      <w:r w:rsidR="009D7C63" w:rsidRPr="0044196C">
        <w:rPr>
          <w:color w:val="000000" w:themeColor="text1"/>
          <w:lang w:val="en-US"/>
        </w:rPr>
        <w:fldChar w:fldCharType="end"/>
      </w:r>
      <w:r w:rsidR="00CE763B" w:rsidRPr="0044196C">
        <w:rPr>
          <w:color w:val="000000" w:themeColor="text1"/>
        </w:rPr>
        <w:t>, в котороевключали пациентов с диабетической нефропатией с выраженной альбуминурией (не менее 300 мг/г), при которой преимущества комбинированного лечения должны были бы</w:t>
      </w:r>
      <w:r w:rsidR="00ED6923" w:rsidRPr="0044196C">
        <w:rPr>
          <w:color w:val="000000" w:themeColor="text1"/>
        </w:rPr>
        <w:t xml:space="preserve"> проявляться наиболее отчетливо,в</w:t>
      </w:r>
      <w:r w:rsidR="00CE763B" w:rsidRPr="0044196C">
        <w:rPr>
          <w:color w:val="000000" w:themeColor="text1"/>
        </w:rPr>
        <w:t xml:space="preserve"> группе комбинированного лечения </w:t>
      </w:r>
      <w:r w:rsidR="00ED6923" w:rsidRPr="0044196C">
        <w:rPr>
          <w:color w:val="000000" w:themeColor="text1"/>
        </w:rPr>
        <w:t>лозартаном и лизиноприлом</w:t>
      </w:r>
      <w:r w:rsidR="00CE763B" w:rsidRPr="0044196C">
        <w:rPr>
          <w:color w:val="000000" w:themeColor="text1"/>
        </w:rPr>
        <w:t xml:space="preserve">частота неблагоприятных почечных исходов была лишь незначительно ниже по сравнению с монотерапиейлозартаном, не было преимуществ в отношении смертности и сердечно-сосудистых исходов. В то же время частота гиперкалиемии и острой почечной недостаточности была достоверно выше при комбинированной терапии. Систематический обзор, включающий 21 708 пациентов, также не показал преимуществ комбинированного лечения при ХБП в отношении риска снижения функции почек и ССО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"10.1093/ndt/gfq792", "ISSN" : "1460-2385", "PMID" : "21372254", "abstract" : "BACKGROUND: A recent clinical trial showed harmful renal effects with the combined use of angiotensin-converting enzyme inhibitors (ACEI) and angiotensin-II receptor blockers (ARB) in people with diabetes or vascular disease. We examined the benefits and risks of these agents in people with albuminuria and one or more cardiovascular risk factors.\n\nMETHODS: MEDLINE, EMBASE and Renal Health Library were searched for trials comparing ACEI, ARB or their combination with placebo or with one another in people with albuminuria and one or more cardiovascular risk factor.\n\nRESULTS: Eighty-five trials (21,708 patients) were included. There was no significant reduction in the risk of all-cause mortality or fatal cardiac-cerebrovascular outcomes with ACEI versus placebo, ARB versus placebo, ACEI versus ARB or with combined therapy with ACEI + ARB versus monotherapy. There was a significant reduction in the risk of nonfatal cardiovascular events with ACEI versus placebo but not with ARB versus placebo, ACEI versus ARB or with combined therapy with ACEI + ARB versus monotherapy. Development of end-stage kidney disease and progression of microalbuminuria to macroalbuminuria were reduced significantly with ACEI versus placebo and ARB versus placebo but not with combined therapy with ACEI + ARB versus monotherapy.\n\nCONCLUSIONS: ACEI and ARB exert independent renal and nonfatal cardiovascular benefits while their effects on mortality and fatal cardiovascular disease are uncertain. There is a lack of evidence to support the use of combination therapy. A comparative clinical trial with ACE, ARB and its combination in people with albuminuria and a cardiovascular risk factor is warranted.", "author" : [ { "dropping-particle" : "", "family" : "Maione", "given" : "Ausilia", "non-dropping-particle" : "", "parse-names" : false, "suffix" : "" }, { "dropping-particle" : "", "family" : "Navaneethan", "given" : "Sankar D", "non-dropping-particle" : "", "parse-names" : false, "suffix" : "" }, { "dropping-particle" : "", "family" : "Graziano", "given" : "Giusi", "non-dropping-particle" : "", "parse-names" : false, "suffix" : "" }, { "dropping-particle" : "", "family" : "Mitchell", "given" : "Ruth", "non-dropping-particle" : "", "parse-names" : false, "suffix" : "" }, { "dropping-particle" : "", "family" : "Johnson", "given" : "David", "non-dropping-particle" : "", "parse-names" : false, "suffix" : "" }, { "dropping-particle" : "", "family" : "Mann", "given" : "Johannes F E", "non-dropping-particle" : "", "parse-names" : false, "suffix" : "" }, { "dropping-particle" : "", "family" : "Gao", "given" : "Peggy", "non-dropping-particle" : "", "parse-names" : false, "suffix" : "" }, { "dropping-particle" : "", "family" : "Craig", "given" : "Jonathan C", "non-dropping-particle" : "", "parse-names" : false, "suffix" : "" }, { "dropping-particle" : "", "family" : "Tognoni", "given" : "Giovanni", "non-dropping-particle" : "", "parse-names" : false, "suffix" : "" }, { "dropping-particle" : "", "family" : "Perkovic", "given" : "Vlado", "non-dropping-particle" : "", "parse-names" : false, "suffix" : "" }, { "dropping-particle" : "", "family" : "Nicolucci", "given" : "Antonio", "non-dropping-particle" : "", "parse-names" : false, "suffix" : "" }, { "dropping-particle" : "", "family" : "Cosmo", "given" : "Salvatore", "non-dropping-particle" : "De", "parse-names" : false, "suffix" : "" }, { "dropping-particle" : "", "family" : "Sasso", "given" : "Antonio", "non-dropping-particle" : "", "parse-names" : false, "suffix" : "" }, { "dropping-particle" : "", "family" : "Lamacchia", "given" : "Olga", "non-dropping-particle" : "", "parse-names" : false, "suffix" : "" }, { "dropping-particle" : "", "family" : "Cignarelli", "given" : "Mauro", "non-dropping-particle" : "", "parse-names" : false, "suffix" : "" }, { "dropping-particle" : "", "family" : "Manfreda", "given" : "Valeria Maria", "non-dropping-particle" : "", "parse-names" : false, "suffix" : "" }, { "dropping-particle" : "", "family" : "Gentile", "given" : "Giorgio", "non-dropping-particle" : "", "parse-names" : false, "suffix" : "" }, { "dropping-particle" : "", "family" : "Strippoli", "given" : "Giovanni F M", "non-dropping-particle" : "", "parse-names" : false, "suffix" : "" } ], "container-title" : "Nephrology, dialysis, transplantation : official publication of the European Dialysis and Transplant Association - European Renal Association", "id" : "ITEM-1", "issue" : "9", "issued" : { "date-parts" : [ [ "2011", "9" ] ] }, "page" : "2827-47", "title" : "Angiotensin-converting enzyme inhibitors, angiotensin receptor blockers and combined therapy in patients with micro- and macroalbuminuria and other cardiovascular risk factors: a systematic review of randomized controlled trials.", "type" : "article-journal", "volume" : "26" }, "uris" : [ "http://www.mendeley.com/documents/?uuid=eb1c9f76-cfb4-4df9-9297-b31dc0655978" ] } ], "mendeley" : { "previouslyFormattedCitation" : "[Maione \u0438 \u0434\u0440., 2011]"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[Maione и др., 2011]</w:t>
      </w:r>
      <w:r w:rsidR="009D7C63" w:rsidRPr="0044196C">
        <w:rPr>
          <w:color w:val="000000" w:themeColor="text1"/>
        </w:rPr>
        <w:fldChar w:fldCharType="end"/>
      </w:r>
      <w:r w:rsidR="00CE763B" w:rsidRPr="0044196C">
        <w:rPr>
          <w:color w:val="000000" w:themeColor="text1"/>
        </w:rPr>
        <w:t>.</w:t>
      </w:r>
    </w:p>
    <w:p w:rsidR="00CE763B" w:rsidRPr="0044196C" w:rsidRDefault="00CE763B" w:rsidP="00CE763B">
      <w:pPr>
        <w:rPr>
          <w:color w:val="000000" w:themeColor="text1"/>
        </w:rPr>
      </w:pPr>
      <w:r w:rsidRPr="0044196C">
        <w:rPr>
          <w:color w:val="000000" w:themeColor="text1"/>
        </w:rPr>
        <w:t xml:space="preserve">Еще одна комбинация, на которую возлагали определенные надежды в отношении более эффективной нефропротекции – присоединение к ИАПФ или БРА антагониста альдостерона, роль которого в прогрессировании нефросклероза и кардиосклероза активно изучается. </w:t>
      </w:r>
      <w:r w:rsidR="00AD2982" w:rsidRPr="0044196C">
        <w:rPr>
          <w:color w:val="000000" w:themeColor="text1"/>
        </w:rPr>
        <w:t>Однако</w:t>
      </w:r>
      <w:r w:rsidR="00D77736" w:rsidRPr="0044196C">
        <w:rPr>
          <w:color w:val="000000" w:themeColor="text1"/>
        </w:rPr>
        <w:t xml:space="preserve"> </w:t>
      </w:r>
      <w:r w:rsidRPr="0044196C">
        <w:rPr>
          <w:color w:val="000000" w:themeColor="text1"/>
        </w:rPr>
        <w:t xml:space="preserve">метаанализ, включающий  27 контролируемых или квазиконтролируемых исследований, в которых изучали эффекты присоединения альдактона к ИАПФ или БРА или их сочетанию </w:t>
      </w:r>
      <w:r w:rsidR="009D7C63" w:rsidRPr="0044196C">
        <w:rPr>
          <w:color w:val="000000" w:themeColor="text1"/>
        </w:rPr>
        <w:fldChar w:fldCharType="begin" w:fldLock="1"/>
      </w:r>
      <w:r w:rsidR="00EA3B99" w:rsidRPr="0044196C">
        <w:rPr>
          <w:color w:val="000000" w:themeColor="text1"/>
        </w:rPr>
        <w:instrText>ADDIN CSL_CITATION { "citationItems" : [ { "id" : "ITEM-1", "itemData" : { "DOI" : "10.1002/14651858.CD007004.pub3", "ISSN" : "1469-493X", "PMID" : "24782282", "abstract" : "BACKGROUND: Treatment with angiotensin-converting enzyme inhibitors (ACEi) and angiotensin receptor blockers (ARB) is increasingly used to reduce proteinuria and retard the progression of chronic kidney disease (CKD). However, resolution of proteinuria may be incomplete with these therapies and the addition of an aldosterone antagonist may be added to further prevent progression of CKD. This is an update of a review first published in 2009.\n\nOBJECTIVES: To evaluate the effect of aldosterone antagonists (both selective (eplerenone) and non-selective (spironolactone)) alone or in combination with ACEi or ARB in adults who have CKD with proteinuria (nephrotic and non-nephrotic range) on: patient-centred endpoints including major cardiovascular events, hospitalisation and all-cause mortality; kidney function (proteinuria, glomerular filtration rate (GFR), serum creatinine, and need for renal replacement therapy; and adverse events (including gynaecomastia and hyperkalaemia).\n\nSEARCH METHODS: For this update, we searched the Cochrane Renal Group's Specialised Register to 30 January 2013 using search terms relevant to this review.\n\nSELECTION CRITERIA: We included randomised controlled trials (RCTs) and quasi-RCTs that compared aldosterone antagonists alone or in combination with ACEi or ARB (or both) with other anti-hypertensive strategies or placebo.\n\nDATA COLLECTION AND ANALYSIS: Two authors independently assessed study quality and extracted data. Data were summarised using random effects meta-analysis. We tested for heterogeneity in estimated treatment effects using the Cochran Q test and I\u00b2 statistic. We expressed summary treatment estimates as a risk ratio (RR) for dichotomous outcomes together with their 95% confidence intervals (CI) and mean difference (MD) for continuous outcomes, or standardised mean difference (SMD) when different scales were used.\n\nMAIN RESULTS: We identified 27 studies (1549 participants) that were eligible for inclusion. These studies provided no data relating to aldosterone antagonists in addition to ACEi or ARB (or both) on patient-level outcomes including major cardiovascular events and mortality and progression to end-stage kidney disease (ESKD) requiring dialysis or transplantation.Compared with ACEi or ARB (or both), non-selective aldosterone antagonists (spironolactone) combined with ACEi or ARB (or both) significantly reduced 24-hour protein excretion (11 studies, 596 participants): SMD -0.61, 95% CI -1.08 to -0.13). Ther\u2026", "author" : [ { "dropping-particle" : "", "family" : "Bolignano", "given" : "Davide", "non-dropping-particle" : "", "parse-names" : false, "suffix" : "" }, { "dropping-particle" : "", "family" : "Palmer", "given" : "Suetonia C", "non-dropping-particle" : "", "parse-names" : false, "suffix" : "" }, { "dropping-particle" : "", "family" : "Navaneethan", "given" : "Sankar D", "non-dropping-particle" : "", "parse-names" : false, "suffix" : "" }, { "dropping-particle" : "", "family" : "Strippoli", "given" : "Giovanni F M", "non-dropping-particle" : "", "parse-names" : false, "suffix" : "" } ], "container-title" : "The Cochrane database of systematic reviews", "id" : "ITEM-1", "issued" : { "date-parts" : [ [ "2014", "1" ] ] }, "page" : "CD007004", "title" : "Aldosterone antagonists for preventing the progression of chronic kidney disease.", "type" : "article-journal", "volume" : "4" }, "uris" : [ "http://www.mendeley.com/documents/?uuid=3f55c435-99fc-44e0-a1a3-1a2b973f3506" ] } ], "mendeley" : { "previouslyFormattedCitation" : "[Bolignano \u0438 \u0434\u0440., 2014]" }, "properties" : { "noteIndex" : 0 }, "schema" : "https://github.com/citation-style-language/schema/raw/master/csl-citation.json" }</w:instrText>
      </w:r>
      <w:r w:rsidR="009D7C63" w:rsidRPr="0044196C">
        <w:rPr>
          <w:color w:val="000000" w:themeColor="text1"/>
        </w:rPr>
        <w:fldChar w:fldCharType="separate"/>
      </w:r>
      <w:r w:rsidR="00EA3B99" w:rsidRPr="0044196C">
        <w:rPr>
          <w:noProof/>
          <w:color w:val="000000" w:themeColor="text1"/>
        </w:rPr>
        <w:t>[Bolignano и др., 2014]</w:t>
      </w:r>
      <w:r w:rsidR="009D7C63" w:rsidRPr="0044196C">
        <w:rPr>
          <w:color w:val="000000" w:themeColor="text1"/>
        </w:rPr>
        <w:fldChar w:fldCharType="end"/>
      </w:r>
      <w:r w:rsidRPr="0044196C">
        <w:rPr>
          <w:color w:val="000000" w:themeColor="text1"/>
        </w:rPr>
        <w:t>показал, что</w:t>
      </w:r>
      <w:r w:rsidR="00D77736" w:rsidRPr="0044196C">
        <w:rPr>
          <w:color w:val="000000" w:themeColor="text1"/>
        </w:rPr>
        <w:t xml:space="preserve"> </w:t>
      </w:r>
      <w:r w:rsidRPr="0044196C">
        <w:rPr>
          <w:color w:val="000000" w:themeColor="text1"/>
        </w:rPr>
        <w:t>комбинированное</w:t>
      </w:r>
      <w:r w:rsidR="00D77736" w:rsidRPr="0044196C">
        <w:rPr>
          <w:color w:val="000000" w:themeColor="text1"/>
        </w:rPr>
        <w:t xml:space="preserve"> </w:t>
      </w:r>
      <w:r w:rsidRPr="0044196C">
        <w:rPr>
          <w:color w:val="000000" w:themeColor="text1"/>
        </w:rPr>
        <w:t>лечение</w:t>
      </w:r>
      <w:r w:rsidR="00D77736" w:rsidRPr="0044196C">
        <w:rPr>
          <w:color w:val="000000" w:themeColor="text1"/>
        </w:rPr>
        <w:t xml:space="preserve"> </w:t>
      </w:r>
      <w:r w:rsidRPr="0044196C">
        <w:rPr>
          <w:color w:val="000000" w:themeColor="text1"/>
        </w:rPr>
        <w:t>более</w:t>
      </w:r>
      <w:r w:rsidR="00D77736" w:rsidRPr="0044196C">
        <w:rPr>
          <w:color w:val="000000" w:themeColor="text1"/>
        </w:rPr>
        <w:t xml:space="preserve"> </w:t>
      </w:r>
      <w:r w:rsidRPr="0044196C">
        <w:rPr>
          <w:color w:val="000000" w:themeColor="text1"/>
        </w:rPr>
        <w:t>эффективно</w:t>
      </w:r>
      <w:r w:rsidR="00D77736" w:rsidRPr="0044196C">
        <w:rPr>
          <w:color w:val="000000" w:themeColor="text1"/>
        </w:rPr>
        <w:t xml:space="preserve"> </w:t>
      </w:r>
      <w:r w:rsidRPr="0044196C">
        <w:rPr>
          <w:color w:val="000000" w:themeColor="text1"/>
        </w:rPr>
        <w:t>снижает</w:t>
      </w:r>
      <w:r w:rsidR="00D77736" w:rsidRPr="0044196C">
        <w:rPr>
          <w:color w:val="000000" w:themeColor="text1"/>
        </w:rPr>
        <w:t xml:space="preserve"> </w:t>
      </w:r>
      <w:r w:rsidRPr="0044196C">
        <w:rPr>
          <w:color w:val="000000" w:themeColor="text1"/>
        </w:rPr>
        <w:t>протеинурию, но</w:t>
      </w:r>
      <w:r w:rsidR="00D77736" w:rsidRPr="0044196C">
        <w:rPr>
          <w:color w:val="000000" w:themeColor="text1"/>
        </w:rPr>
        <w:t xml:space="preserve"> </w:t>
      </w:r>
      <w:r w:rsidRPr="0044196C">
        <w:rPr>
          <w:color w:val="000000" w:themeColor="text1"/>
        </w:rPr>
        <w:t>в</w:t>
      </w:r>
      <w:r w:rsidR="00D77736" w:rsidRPr="0044196C">
        <w:rPr>
          <w:color w:val="000000" w:themeColor="text1"/>
        </w:rPr>
        <w:t xml:space="preserve"> </w:t>
      </w:r>
      <w:r w:rsidRPr="0044196C">
        <w:rPr>
          <w:color w:val="000000" w:themeColor="text1"/>
        </w:rPr>
        <w:t>тоже</w:t>
      </w:r>
      <w:r w:rsidR="00D77736" w:rsidRPr="0044196C">
        <w:rPr>
          <w:color w:val="000000" w:themeColor="text1"/>
        </w:rPr>
        <w:t xml:space="preserve"> </w:t>
      </w:r>
      <w:r w:rsidRPr="0044196C">
        <w:rPr>
          <w:color w:val="000000" w:themeColor="text1"/>
        </w:rPr>
        <w:t>время</w:t>
      </w:r>
      <w:r w:rsidR="00D77736" w:rsidRPr="0044196C">
        <w:rPr>
          <w:color w:val="000000" w:themeColor="text1"/>
        </w:rPr>
        <w:t xml:space="preserve"> </w:t>
      </w:r>
      <w:r w:rsidRPr="0044196C">
        <w:rPr>
          <w:color w:val="000000" w:themeColor="text1"/>
        </w:rPr>
        <w:t>чаще</w:t>
      </w:r>
      <w:r w:rsidR="00D77736" w:rsidRPr="0044196C">
        <w:rPr>
          <w:color w:val="000000" w:themeColor="text1"/>
        </w:rPr>
        <w:t xml:space="preserve"> </w:t>
      </w:r>
      <w:r w:rsidRPr="0044196C">
        <w:rPr>
          <w:color w:val="000000" w:themeColor="text1"/>
        </w:rPr>
        <w:t>вызывает</w:t>
      </w:r>
      <w:r w:rsidR="00D77736" w:rsidRPr="0044196C">
        <w:rPr>
          <w:color w:val="000000" w:themeColor="text1"/>
        </w:rPr>
        <w:t xml:space="preserve"> </w:t>
      </w:r>
      <w:r w:rsidRPr="0044196C">
        <w:rPr>
          <w:color w:val="000000" w:themeColor="text1"/>
        </w:rPr>
        <w:t>гиперкалиемию и не имеет преимуществ в отношении сохранения функции почек и риска ССО.</w:t>
      </w:r>
    </w:p>
    <w:p w:rsidR="00B52118" w:rsidRPr="0044196C" w:rsidRDefault="00CE763B" w:rsidP="00CE763B">
      <w:pPr>
        <w:rPr>
          <w:color w:val="000000" w:themeColor="text1"/>
        </w:rPr>
      </w:pPr>
      <w:r w:rsidRPr="0044196C">
        <w:rPr>
          <w:color w:val="000000" w:themeColor="text1"/>
        </w:rPr>
        <w:t xml:space="preserve">Таким образом, достижение максимального антипротеинурического эффекта за счет использования </w:t>
      </w:r>
      <w:r w:rsidR="00AD2982" w:rsidRPr="0044196C">
        <w:rPr>
          <w:color w:val="000000" w:themeColor="text1"/>
        </w:rPr>
        <w:t>агрессивной комбинированной блокады</w:t>
      </w:r>
      <w:r w:rsidRPr="0044196C">
        <w:rPr>
          <w:color w:val="000000" w:themeColor="text1"/>
        </w:rPr>
        <w:t xml:space="preserve"> РАС</w:t>
      </w:r>
      <w:r w:rsidR="0031792A" w:rsidRPr="0044196C">
        <w:rPr>
          <w:color w:val="000000" w:themeColor="text1"/>
        </w:rPr>
        <w:t>в настоящее время считается рискованной тактикой и не рекомендуется</w:t>
      </w:r>
      <w:r w:rsidRPr="0044196C">
        <w:rPr>
          <w:color w:val="000000" w:themeColor="text1"/>
        </w:rPr>
        <w:t xml:space="preserve">. </w:t>
      </w:r>
    </w:p>
    <w:p w:rsidR="00B52118" w:rsidRPr="0044196C" w:rsidRDefault="00B52118" w:rsidP="00F81FC2">
      <w:pPr>
        <w:rPr>
          <w:color w:val="000000" w:themeColor="text1"/>
        </w:rPr>
      </w:pPr>
      <w:r w:rsidRPr="0044196C">
        <w:rPr>
          <w:color w:val="000000" w:themeColor="text1"/>
        </w:rPr>
        <w:t>Наиболее оптимальными считаются комбинации ИАПФ или БРА с диуретиком или антагонистом кальция. Назначение тиазидного или петлевого мочегонного</w:t>
      </w:r>
      <w:r w:rsidR="00F81FC2" w:rsidRPr="0044196C">
        <w:rPr>
          <w:color w:val="000000" w:themeColor="text1"/>
        </w:rPr>
        <w:t xml:space="preserve"> в 1,5-2 раза</w:t>
      </w:r>
      <w:r w:rsidR="00D77736" w:rsidRPr="0044196C">
        <w:rPr>
          <w:color w:val="000000" w:themeColor="text1"/>
        </w:rPr>
        <w:t xml:space="preserve"> </w:t>
      </w:r>
      <w:r w:rsidR="00F81FC2" w:rsidRPr="0044196C">
        <w:rPr>
          <w:color w:val="000000" w:themeColor="text1"/>
        </w:rPr>
        <w:t>усиливает</w:t>
      </w:r>
      <w:r w:rsidR="00D77736" w:rsidRPr="0044196C">
        <w:rPr>
          <w:color w:val="000000" w:themeColor="text1"/>
        </w:rPr>
        <w:t xml:space="preserve"> </w:t>
      </w:r>
      <w:r w:rsidRPr="0044196C">
        <w:rPr>
          <w:color w:val="000000" w:themeColor="text1"/>
        </w:rPr>
        <w:t>антигипертиензивный и антипротеинурический эффект препаратов, подавляющих РАС</w:t>
      </w:r>
      <w:r w:rsidR="00D77736" w:rsidRPr="0044196C">
        <w:rPr>
          <w:color w:val="000000" w:themeColor="text1"/>
        </w:rPr>
        <w:t xml:space="preserve"> </w:t>
      </w:r>
      <w:r w:rsidR="00F81FC2" w:rsidRPr="0044196C">
        <w:rPr>
          <w:color w:val="000000" w:themeColor="text1"/>
        </w:rPr>
        <w:t>[</w:t>
      </w:r>
      <w:r w:rsidR="00F81FC2" w:rsidRPr="0044196C">
        <w:rPr>
          <w:color w:val="000000" w:themeColor="text1"/>
          <w:lang w:val="en-US"/>
        </w:rPr>
        <w:t>Esnault</w:t>
      </w:r>
      <w:r w:rsidR="00F81FC2" w:rsidRPr="0044196C">
        <w:rPr>
          <w:color w:val="000000" w:themeColor="text1"/>
        </w:rPr>
        <w:t xml:space="preserve"> </w:t>
      </w:r>
      <w:r w:rsidR="00F81FC2" w:rsidRPr="0044196C">
        <w:rPr>
          <w:color w:val="000000" w:themeColor="text1"/>
          <w:lang w:val="en-US"/>
        </w:rPr>
        <w:t>VL</w:t>
      </w:r>
      <w:r w:rsidR="00F81FC2" w:rsidRPr="0044196C">
        <w:rPr>
          <w:color w:val="000000" w:themeColor="text1"/>
        </w:rPr>
        <w:t xml:space="preserve">, </w:t>
      </w:r>
      <w:r w:rsidR="00F81FC2" w:rsidRPr="0044196C">
        <w:rPr>
          <w:color w:val="000000" w:themeColor="text1"/>
          <w:lang w:val="en-US"/>
        </w:rPr>
        <w:t>Ekhlas</w:t>
      </w:r>
      <w:r w:rsidR="00F81FC2" w:rsidRPr="0044196C">
        <w:rPr>
          <w:color w:val="000000" w:themeColor="text1"/>
        </w:rPr>
        <w:t xml:space="preserve"> </w:t>
      </w:r>
      <w:r w:rsidR="00F81FC2" w:rsidRPr="0044196C">
        <w:rPr>
          <w:color w:val="000000" w:themeColor="text1"/>
          <w:lang w:val="en-US"/>
        </w:rPr>
        <w:t>A</w:t>
      </w:r>
      <w:r w:rsidR="00F81FC2" w:rsidRPr="0044196C">
        <w:rPr>
          <w:color w:val="000000" w:themeColor="text1"/>
        </w:rPr>
        <w:t xml:space="preserve">, </w:t>
      </w:r>
      <w:r w:rsidR="00F81FC2" w:rsidRPr="0044196C">
        <w:rPr>
          <w:color w:val="000000" w:themeColor="text1"/>
          <w:lang w:val="en-US"/>
        </w:rPr>
        <w:t>Delcroix</w:t>
      </w:r>
      <w:r w:rsidR="00F81FC2" w:rsidRPr="0044196C">
        <w:rPr>
          <w:color w:val="000000" w:themeColor="text1"/>
        </w:rPr>
        <w:t xml:space="preserve"> </w:t>
      </w:r>
      <w:r w:rsidR="00F81FC2" w:rsidRPr="0044196C">
        <w:rPr>
          <w:color w:val="000000" w:themeColor="text1"/>
          <w:lang w:val="en-US"/>
        </w:rPr>
        <w:t>C</w:t>
      </w:r>
      <w:r w:rsidR="00F81FC2" w:rsidRPr="0044196C">
        <w:rPr>
          <w:color w:val="000000" w:themeColor="text1"/>
        </w:rPr>
        <w:t xml:space="preserve"> </w:t>
      </w:r>
      <w:r w:rsidR="00F81FC2" w:rsidRPr="0044196C">
        <w:rPr>
          <w:color w:val="000000" w:themeColor="text1"/>
          <w:lang w:val="en-US"/>
        </w:rPr>
        <w:t>et</w:t>
      </w:r>
      <w:r w:rsidR="00F81FC2" w:rsidRPr="0044196C">
        <w:rPr>
          <w:color w:val="000000" w:themeColor="text1"/>
        </w:rPr>
        <w:t xml:space="preserve"> </w:t>
      </w:r>
      <w:r w:rsidR="00F81FC2" w:rsidRPr="0044196C">
        <w:rPr>
          <w:color w:val="000000" w:themeColor="text1"/>
          <w:lang w:val="en-US"/>
        </w:rPr>
        <w:t>al</w:t>
      </w:r>
      <w:r w:rsidR="00F81FC2" w:rsidRPr="0044196C">
        <w:rPr>
          <w:color w:val="000000" w:themeColor="text1"/>
        </w:rPr>
        <w:t xml:space="preserve">. </w:t>
      </w:r>
      <w:r w:rsidR="00F81FC2" w:rsidRPr="0044196C">
        <w:rPr>
          <w:color w:val="000000" w:themeColor="text1"/>
          <w:lang w:val="en-US"/>
        </w:rPr>
        <w:t xml:space="preserve">Diuretic and enhanced sodium restriction results in improved antiproteinuric response to RAS blocking agents. J Am SocNephrol 2005; 16: 474–481. Vogt L, Waanders F, Boomsma F et al. Effects of dietary </w:t>
      </w:r>
      <w:r w:rsidR="00F81FC2" w:rsidRPr="0044196C">
        <w:rPr>
          <w:color w:val="000000" w:themeColor="text1"/>
          <w:lang w:val="en-US"/>
        </w:rPr>
        <w:lastRenderedPageBreak/>
        <w:t>sodium and hydrochlorothiazide on the antiproteinuric efficacy of losartan. J</w:t>
      </w:r>
      <w:r w:rsidR="00F81FC2" w:rsidRPr="0044196C">
        <w:rPr>
          <w:color w:val="000000" w:themeColor="text1"/>
        </w:rPr>
        <w:t xml:space="preserve"> </w:t>
      </w:r>
      <w:r w:rsidR="00F81FC2" w:rsidRPr="0044196C">
        <w:rPr>
          <w:color w:val="000000" w:themeColor="text1"/>
          <w:lang w:val="en-US"/>
        </w:rPr>
        <w:t>Am</w:t>
      </w:r>
      <w:r w:rsidR="00F81FC2" w:rsidRPr="0044196C">
        <w:rPr>
          <w:color w:val="000000" w:themeColor="text1"/>
        </w:rPr>
        <w:t xml:space="preserve"> </w:t>
      </w:r>
      <w:r w:rsidR="00F81FC2" w:rsidRPr="0044196C">
        <w:rPr>
          <w:color w:val="000000" w:themeColor="text1"/>
          <w:lang w:val="en-US"/>
        </w:rPr>
        <w:t>SocNephrol</w:t>
      </w:r>
      <w:r w:rsidR="00F81FC2" w:rsidRPr="0044196C">
        <w:rPr>
          <w:color w:val="000000" w:themeColor="text1"/>
        </w:rPr>
        <w:t xml:space="preserve"> 2008; 19: 999–1007.]</w:t>
      </w:r>
      <w:r w:rsidRPr="0044196C">
        <w:rPr>
          <w:color w:val="000000" w:themeColor="text1"/>
        </w:rPr>
        <w:t>.</w:t>
      </w:r>
      <w:r w:rsidR="00F81FC2" w:rsidRPr="0044196C">
        <w:rPr>
          <w:color w:val="000000" w:themeColor="text1"/>
        </w:rPr>
        <w:t xml:space="preserve"> Однако при назначении мочегонных следует учитывать опасность гиповолемии и ограничения в использовании тиазидов при выраженном снижении СКФ (см. рекомендацию </w:t>
      </w:r>
      <w:fldSimple w:instr=" REF _Ref280262056 \n \h  \* MERGEFORMAT ">
        <w:r w:rsidR="00F81FC2" w:rsidRPr="0044196C">
          <w:rPr>
            <w:color w:val="000000" w:themeColor="text1"/>
          </w:rPr>
          <w:t>8.8</w:t>
        </w:r>
      </w:fldSimple>
      <w:r w:rsidR="00F81FC2" w:rsidRPr="0044196C">
        <w:rPr>
          <w:color w:val="000000" w:themeColor="text1"/>
        </w:rPr>
        <w:t>).</w:t>
      </w:r>
    </w:p>
    <w:p w:rsidR="00727B47" w:rsidRPr="0044196C" w:rsidRDefault="00727B47" w:rsidP="00727B47">
      <w:pPr>
        <w:rPr>
          <w:color w:val="000000" w:themeColor="text1"/>
        </w:rPr>
      </w:pPr>
      <w:r w:rsidRPr="0044196C">
        <w:rPr>
          <w:color w:val="000000" w:themeColor="text1"/>
          <w:lang w:val="en-US"/>
        </w:rPr>
        <w:t>P</w:t>
      </w:r>
      <w:r w:rsidRPr="0044196C">
        <w:rPr>
          <w:color w:val="000000" w:themeColor="text1"/>
        </w:rPr>
        <w:t xml:space="preserve">osthocанализ результатов крупного исследованияACCOMPLISH свидетельствует о превосходстве комбинации иАПФ (беназеприл) с антагонистом кальция (амлодипин) над комбинацией беназеприла с тиазиднымдиуретиком (гидрохлортиазид) в отношении замедления прогрессирования ХБП [Bakris GL, Sarafidis PA, Weir MR etal. </w:t>
      </w:r>
      <w:r w:rsidRPr="0044196C">
        <w:rPr>
          <w:color w:val="000000" w:themeColor="text1"/>
          <w:lang w:val="en-US"/>
        </w:rPr>
        <w:t>Renal</w:t>
      </w:r>
      <w:r w:rsidR="00D77736" w:rsidRPr="0044196C">
        <w:rPr>
          <w:color w:val="000000" w:themeColor="text1"/>
          <w:lang w:val="en-US"/>
        </w:rPr>
        <w:t xml:space="preserve"> </w:t>
      </w:r>
      <w:r w:rsidRPr="0044196C">
        <w:rPr>
          <w:color w:val="000000" w:themeColor="text1"/>
          <w:lang w:val="en-US"/>
        </w:rPr>
        <w:t>outcomes</w:t>
      </w:r>
      <w:r w:rsidR="00D77736" w:rsidRPr="0044196C">
        <w:rPr>
          <w:color w:val="000000" w:themeColor="text1"/>
          <w:lang w:val="en-US"/>
        </w:rPr>
        <w:t xml:space="preserve"> </w:t>
      </w:r>
      <w:r w:rsidRPr="0044196C">
        <w:rPr>
          <w:color w:val="000000" w:themeColor="text1"/>
          <w:lang w:val="en-US"/>
        </w:rPr>
        <w:t>with</w:t>
      </w:r>
      <w:r w:rsidR="00D77736" w:rsidRPr="0044196C">
        <w:rPr>
          <w:color w:val="000000" w:themeColor="text1"/>
          <w:lang w:val="en-US"/>
        </w:rPr>
        <w:t xml:space="preserve"> </w:t>
      </w:r>
      <w:r w:rsidRPr="0044196C">
        <w:rPr>
          <w:color w:val="000000" w:themeColor="text1"/>
          <w:lang w:val="en-US"/>
        </w:rPr>
        <w:t>different</w:t>
      </w:r>
      <w:r w:rsidR="00D77736" w:rsidRPr="0044196C">
        <w:rPr>
          <w:color w:val="000000" w:themeColor="text1"/>
          <w:lang w:val="en-US"/>
        </w:rPr>
        <w:t xml:space="preserve"> </w:t>
      </w:r>
      <w:r w:rsidRPr="0044196C">
        <w:rPr>
          <w:color w:val="000000" w:themeColor="text1"/>
          <w:lang w:val="en-US"/>
        </w:rPr>
        <w:t>fixed-dose</w:t>
      </w:r>
      <w:r w:rsidR="00D77736" w:rsidRPr="0044196C">
        <w:rPr>
          <w:color w:val="000000" w:themeColor="text1"/>
          <w:lang w:val="en-US"/>
        </w:rPr>
        <w:t xml:space="preserve"> </w:t>
      </w:r>
      <w:r w:rsidRPr="0044196C">
        <w:rPr>
          <w:color w:val="000000" w:themeColor="text1"/>
          <w:lang w:val="en-US"/>
        </w:rPr>
        <w:t>combination</w:t>
      </w:r>
      <w:r w:rsidR="00D77736" w:rsidRPr="0044196C">
        <w:rPr>
          <w:color w:val="000000" w:themeColor="text1"/>
          <w:lang w:val="en-US"/>
        </w:rPr>
        <w:t xml:space="preserve"> </w:t>
      </w:r>
      <w:r w:rsidRPr="0044196C">
        <w:rPr>
          <w:color w:val="000000" w:themeColor="text1"/>
          <w:lang w:val="en-US"/>
        </w:rPr>
        <w:t>therapies</w:t>
      </w:r>
      <w:r w:rsidR="00D77736" w:rsidRPr="0044196C">
        <w:rPr>
          <w:color w:val="000000" w:themeColor="text1"/>
          <w:lang w:val="en-US"/>
        </w:rPr>
        <w:t xml:space="preserve"> </w:t>
      </w:r>
      <w:r w:rsidRPr="0044196C">
        <w:rPr>
          <w:color w:val="000000" w:themeColor="text1"/>
          <w:lang w:val="en-US"/>
        </w:rPr>
        <w:t>in</w:t>
      </w:r>
      <w:r w:rsidR="00D77736" w:rsidRPr="0044196C">
        <w:rPr>
          <w:color w:val="000000" w:themeColor="text1"/>
          <w:lang w:val="en-US"/>
        </w:rPr>
        <w:t xml:space="preserve"> </w:t>
      </w:r>
      <w:r w:rsidRPr="0044196C">
        <w:rPr>
          <w:color w:val="000000" w:themeColor="text1"/>
          <w:lang w:val="en-US"/>
        </w:rPr>
        <w:t>patients</w:t>
      </w:r>
      <w:r w:rsidR="00D77736" w:rsidRPr="0044196C">
        <w:rPr>
          <w:color w:val="000000" w:themeColor="text1"/>
          <w:lang w:val="en-US"/>
        </w:rPr>
        <w:t xml:space="preserve"> </w:t>
      </w:r>
      <w:r w:rsidRPr="0044196C">
        <w:rPr>
          <w:color w:val="000000" w:themeColor="text1"/>
          <w:lang w:val="en-US"/>
        </w:rPr>
        <w:t>with</w:t>
      </w:r>
      <w:r w:rsidR="00D77736" w:rsidRPr="0044196C">
        <w:rPr>
          <w:color w:val="000000" w:themeColor="text1"/>
          <w:lang w:val="en-US"/>
        </w:rPr>
        <w:t xml:space="preserve"> </w:t>
      </w:r>
      <w:r w:rsidRPr="0044196C">
        <w:rPr>
          <w:color w:val="000000" w:themeColor="text1"/>
          <w:lang w:val="en-US"/>
        </w:rPr>
        <w:t>hypertension</w:t>
      </w:r>
      <w:r w:rsidR="00D77736" w:rsidRPr="0044196C">
        <w:rPr>
          <w:color w:val="000000" w:themeColor="text1"/>
          <w:lang w:val="en-US"/>
        </w:rPr>
        <w:t xml:space="preserve"> </w:t>
      </w:r>
      <w:r w:rsidRPr="0044196C">
        <w:rPr>
          <w:color w:val="000000" w:themeColor="text1"/>
          <w:lang w:val="en-US"/>
        </w:rPr>
        <w:t>athighrisk</w:t>
      </w:r>
      <w:r w:rsidR="00D77736" w:rsidRPr="0044196C">
        <w:rPr>
          <w:color w:val="000000" w:themeColor="text1"/>
          <w:lang w:val="en-US"/>
        </w:rPr>
        <w:t xml:space="preserve"> </w:t>
      </w:r>
      <w:r w:rsidRPr="0044196C">
        <w:rPr>
          <w:color w:val="000000" w:themeColor="text1"/>
          <w:lang w:val="en-US"/>
        </w:rPr>
        <w:t>for</w:t>
      </w:r>
      <w:r w:rsidR="00D77736" w:rsidRPr="0044196C">
        <w:rPr>
          <w:color w:val="000000" w:themeColor="text1"/>
          <w:lang w:val="en-US"/>
        </w:rPr>
        <w:t xml:space="preserve"> </w:t>
      </w:r>
      <w:r w:rsidRPr="0044196C">
        <w:rPr>
          <w:color w:val="000000" w:themeColor="text1"/>
          <w:lang w:val="en-US"/>
        </w:rPr>
        <w:t>cardiovascular</w:t>
      </w:r>
      <w:r w:rsidR="00D77736" w:rsidRPr="0044196C">
        <w:rPr>
          <w:color w:val="000000" w:themeColor="text1"/>
          <w:lang w:val="en-US"/>
        </w:rPr>
        <w:t xml:space="preserve"> </w:t>
      </w:r>
      <w:r w:rsidRPr="0044196C">
        <w:rPr>
          <w:color w:val="000000" w:themeColor="text1"/>
          <w:lang w:val="en-US"/>
        </w:rPr>
        <w:t>events (ACCOMPLISH): a prespecified</w:t>
      </w:r>
      <w:r w:rsidR="00D77736" w:rsidRPr="0044196C">
        <w:rPr>
          <w:color w:val="000000" w:themeColor="text1"/>
          <w:lang w:val="en-US"/>
        </w:rPr>
        <w:t xml:space="preserve"> </w:t>
      </w:r>
      <w:r w:rsidRPr="0044196C">
        <w:rPr>
          <w:color w:val="000000" w:themeColor="text1"/>
          <w:lang w:val="en-US"/>
        </w:rPr>
        <w:t>secondary</w:t>
      </w:r>
      <w:r w:rsidR="00D77736" w:rsidRPr="0044196C">
        <w:rPr>
          <w:color w:val="000000" w:themeColor="text1"/>
          <w:lang w:val="en-US"/>
        </w:rPr>
        <w:t xml:space="preserve"> </w:t>
      </w:r>
      <w:r w:rsidRPr="0044196C">
        <w:rPr>
          <w:color w:val="000000" w:themeColor="text1"/>
          <w:lang w:val="en-US"/>
        </w:rPr>
        <w:t>analysis</w:t>
      </w:r>
      <w:r w:rsidR="00D77736" w:rsidRPr="0044196C">
        <w:rPr>
          <w:color w:val="000000" w:themeColor="text1"/>
          <w:lang w:val="en-US"/>
        </w:rPr>
        <w:t xml:space="preserve"> </w:t>
      </w:r>
      <w:r w:rsidRPr="0044196C">
        <w:rPr>
          <w:color w:val="000000" w:themeColor="text1"/>
          <w:lang w:val="en-US"/>
        </w:rPr>
        <w:t xml:space="preserve">of a </w:t>
      </w:r>
      <w:r w:rsidR="00D77736" w:rsidRPr="0044196C">
        <w:rPr>
          <w:color w:val="000000" w:themeColor="text1"/>
          <w:lang w:val="en-US"/>
        </w:rPr>
        <w:t xml:space="preserve">randomized </w:t>
      </w:r>
      <w:r w:rsidRPr="0044196C">
        <w:rPr>
          <w:color w:val="000000" w:themeColor="text1"/>
          <w:lang w:val="en-US"/>
        </w:rPr>
        <w:t>controlled</w:t>
      </w:r>
      <w:r w:rsidR="00D77736" w:rsidRPr="0044196C">
        <w:rPr>
          <w:color w:val="000000" w:themeColor="text1"/>
          <w:lang w:val="en-US"/>
        </w:rPr>
        <w:t xml:space="preserve"> </w:t>
      </w:r>
      <w:r w:rsidRPr="0044196C">
        <w:rPr>
          <w:color w:val="000000" w:themeColor="text1"/>
          <w:lang w:val="en-US"/>
        </w:rPr>
        <w:t xml:space="preserve">trial. </w:t>
      </w:r>
      <w:r w:rsidRPr="0044196C">
        <w:rPr>
          <w:color w:val="000000" w:themeColor="text1"/>
        </w:rPr>
        <w:t>Lancet 2010; 375: 1173–1181].</w:t>
      </w:r>
    </w:p>
    <w:p w:rsidR="005E37A6" w:rsidRPr="0044196C" w:rsidRDefault="00F81FC2" w:rsidP="00D22E17">
      <w:pPr>
        <w:rPr>
          <w:color w:val="000000" w:themeColor="text1"/>
        </w:rPr>
      </w:pPr>
      <w:r w:rsidRPr="0044196C">
        <w:rPr>
          <w:color w:val="000000" w:themeColor="text1"/>
        </w:rPr>
        <w:t>В</w:t>
      </w:r>
      <w:r w:rsidR="00D77736" w:rsidRPr="0044196C">
        <w:rPr>
          <w:color w:val="000000" w:themeColor="text1"/>
        </w:rPr>
        <w:t xml:space="preserve"> </w:t>
      </w:r>
      <w:r w:rsidRPr="0044196C">
        <w:rPr>
          <w:color w:val="000000" w:themeColor="text1"/>
        </w:rPr>
        <w:t>исследовании</w:t>
      </w:r>
      <w:r w:rsidR="00D77736" w:rsidRPr="0044196C">
        <w:rPr>
          <w:color w:val="000000" w:themeColor="text1"/>
        </w:rPr>
        <w:t xml:space="preserve"> </w:t>
      </w:r>
      <w:r w:rsidRPr="0044196C">
        <w:rPr>
          <w:color w:val="000000" w:themeColor="text1"/>
          <w:lang w:val="en-US"/>
        </w:rPr>
        <w:t>OSCAR</w:t>
      </w:r>
      <w:r w:rsidRPr="0044196C">
        <w:rPr>
          <w:color w:val="000000" w:themeColor="text1"/>
        </w:rPr>
        <w:t>, в</w:t>
      </w:r>
      <w:r w:rsidR="00D77736" w:rsidRPr="0044196C">
        <w:rPr>
          <w:color w:val="000000" w:themeColor="text1"/>
        </w:rPr>
        <w:t xml:space="preserve"> </w:t>
      </w:r>
      <w:r w:rsidRPr="0044196C">
        <w:rPr>
          <w:color w:val="000000" w:themeColor="text1"/>
        </w:rPr>
        <w:t>которое</w:t>
      </w:r>
      <w:r w:rsidR="00D77736" w:rsidRPr="0044196C">
        <w:rPr>
          <w:color w:val="000000" w:themeColor="text1"/>
        </w:rPr>
        <w:t xml:space="preserve"> </w:t>
      </w:r>
      <w:r w:rsidRPr="0044196C">
        <w:rPr>
          <w:color w:val="000000" w:themeColor="text1"/>
        </w:rPr>
        <w:t>включали</w:t>
      </w:r>
      <w:r w:rsidR="00D77736" w:rsidRPr="0044196C">
        <w:rPr>
          <w:color w:val="000000" w:themeColor="text1"/>
        </w:rPr>
        <w:t xml:space="preserve"> </w:t>
      </w:r>
      <w:r w:rsidRPr="0044196C">
        <w:rPr>
          <w:color w:val="000000" w:themeColor="text1"/>
        </w:rPr>
        <w:t>пожилых</w:t>
      </w:r>
      <w:r w:rsidR="00D77736" w:rsidRPr="0044196C">
        <w:rPr>
          <w:color w:val="000000" w:themeColor="text1"/>
        </w:rPr>
        <w:t xml:space="preserve"> </w:t>
      </w:r>
      <w:r w:rsidRPr="0044196C">
        <w:rPr>
          <w:color w:val="000000" w:themeColor="text1"/>
        </w:rPr>
        <w:t>пациентов</w:t>
      </w:r>
      <w:r w:rsidR="00D77736" w:rsidRPr="0044196C">
        <w:rPr>
          <w:color w:val="000000" w:themeColor="text1"/>
        </w:rPr>
        <w:t xml:space="preserve"> </w:t>
      </w:r>
      <w:r w:rsidRPr="0044196C">
        <w:rPr>
          <w:color w:val="000000" w:themeColor="text1"/>
        </w:rPr>
        <w:t>с</w:t>
      </w:r>
      <w:r w:rsidR="00D77736" w:rsidRPr="0044196C">
        <w:rPr>
          <w:color w:val="000000" w:themeColor="text1"/>
        </w:rPr>
        <w:t xml:space="preserve"> </w:t>
      </w:r>
      <w:r w:rsidRPr="0044196C">
        <w:rPr>
          <w:color w:val="000000" w:themeColor="text1"/>
        </w:rPr>
        <w:t>СКФниже 60 мл/мин/1,73 м</w:t>
      </w:r>
      <w:r w:rsidRPr="0044196C">
        <w:rPr>
          <w:color w:val="000000" w:themeColor="text1"/>
          <w:vertAlign w:val="superscript"/>
        </w:rPr>
        <w:t>2</w:t>
      </w:r>
      <w:r w:rsidRPr="0044196C">
        <w:rPr>
          <w:color w:val="000000" w:themeColor="text1"/>
        </w:rPr>
        <w:t>, были</w:t>
      </w:r>
      <w:r w:rsidR="00D77736" w:rsidRPr="0044196C">
        <w:rPr>
          <w:color w:val="000000" w:themeColor="text1"/>
        </w:rPr>
        <w:t xml:space="preserve"> </w:t>
      </w:r>
      <w:r w:rsidRPr="0044196C">
        <w:rPr>
          <w:color w:val="000000" w:themeColor="text1"/>
        </w:rPr>
        <w:t>показаны</w:t>
      </w:r>
      <w:r w:rsidR="00D77736" w:rsidRPr="0044196C">
        <w:rPr>
          <w:color w:val="000000" w:themeColor="text1"/>
        </w:rPr>
        <w:t xml:space="preserve"> </w:t>
      </w:r>
      <w:r w:rsidRPr="0044196C">
        <w:rPr>
          <w:color w:val="000000" w:themeColor="text1"/>
        </w:rPr>
        <w:t>преимущества</w:t>
      </w:r>
      <w:r w:rsidR="00D77736" w:rsidRPr="0044196C">
        <w:rPr>
          <w:color w:val="000000" w:themeColor="text1"/>
        </w:rPr>
        <w:t xml:space="preserve"> </w:t>
      </w:r>
      <w:r w:rsidRPr="0044196C">
        <w:rPr>
          <w:color w:val="000000" w:themeColor="text1"/>
        </w:rPr>
        <w:t>в</w:t>
      </w:r>
      <w:r w:rsidR="00D77736" w:rsidRPr="0044196C">
        <w:rPr>
          <w:color w:val="000000" w:themeColor="text1"/>
        </w:rPr>
        <w:t xml:space="preserve"> </w:t>
      </w:r>
      <w:r w:rsidRPr="0044196C">
        <w:rPr>
          <w:color w:val="000000" w:themeColor="text1"/>
        </w:rPr>
        <w:t>отношении</w:t>
      </w:r>
      <w:r w:rsidR="00D77736" w:rsidRPr="0044196C">
        <w:rPr>
          <w:color w:val="000000" w:themeColor="text1"/>
        </w:rPr>
        <w:t xml:space="preserve"> </w:t>
      </w:r>
      <w:r w:rsidRPr="0044196C">
        <w:rPr>
          <w:color w:val="000000" w:themeColor="text1"/>
        </w:rPr>
        <w:t>эффективности</w:t>
      </w:r>
      <w:r w:rsidR="00D77736" w:rsidRPr="0044196C">
        <w:rPr>
          <w:color w:val="000000" w:themeColor="text1"/>
        </w:rPr>
        <w:t xml:space="preserve"> </w:t>
      </w:r>
      <w:r w:rsidRPr="0044196C">
        <w:rPr>
          <w:color w:val="000000" w:themeColor="text1"/>
        </w:rPr>
        <w:t>контроля</w:t>
      </w:r>
      <w:r w:rsidR="00D77736" w:rsidRPr="0044196C">
        <w:rPr>
          <w:color w:val="000000" w:themeColor="text1"/>
        </w:rPr>
        <w:t xml:space="preserve"> </w:t>
      </w:r>
      <w:r w:rsidRPr="0044196C">
        <w:rPr>
          <w:color w:val="000000" w:themeColor="text1"/>
        </w:rPr>
        <w:t>АД</w:t>
      </w:r>
      <w:r w:rsidR="00D77736" w:rsidRPr="0044196C">
        <w:rPr>
          <w:color w:val="000000" w:themeColor="text1"/>
        </w:rPr>
        <w:t xml:space="preserve"> </w:t>
      </w:r>
      <w:r w:rsidRPr="0044196C">
        <w:rPr>
          <w:color w:val="000000" w:themeColor="text1"/>
        </w:rPr>
        <w:t>и</w:t>
      </w:r>
      <w:r w:rsidR="00D77736" w:rsidRPr="0044196C">
        <w:rPr>
          <w:color w:val="000000" w:themeColor="text1"/>
        </w:rPr>
        <w:t xml:space="preserve"> </w:t>
      </w:r>
      <w:r w:rsidRPr="0044196C">
        <w:rPr>
          <w:color w:val="000000" w:themeColor="text1"/>
        </w:rPr>
        <w:t>неблагоприятных</w:t>
      </w:r>
      <w:r w:rsidR="00D77736" w:rsidRPr="0044196C">
        <w:rPr>
          <w:color w:val="000000" w:themeColor="text1"/>
        </w:rPr>
        <w:t xml:space="preserve"> </w:t>
      </w:r>
      <w:r w:rsidRPr="0044196C">
        <w:rPr>
          <w:color w:val="000000" w:themeColor="text1"/>
        </w:rPr>
        <w:t>сердечно-сосудистых</w:t>
      </w:r>
      <w:r w:rsidR="00D77736" w:rsidRPr="0044196C">
        <w:rPr>
          <w:color w:val="000000" w:themeColor="text1"/>
        </w:rPr>
        <w:t xml:space="preserve"> </w:t>
      </w:r>
      <w:r w:rsidRPr="0044196C">
        <w:rPr>
          <w:color w:val="000000" w:themeColor="text1"/>
        </w:rPr>
        <w:t>исходов</w:t>
      </w:r>
      <w:r w:rsidR="00D77736" w:rsidRPr="0044196C">
        <w:rPr>
          <w:color w:val="000000" w:themeColor="text1"/>
        </w:rPr>
        <w:t xml:space="preserve"> </w:t>
      </w:r>
      <w:r w:rsidRPr="0044196C">
        <w:rPr>
          <w:color w:val="000000" w:themeColor="text1"/>
        </w:rPr>
        <w:t>комбинированного</w:t>
      </w:r>
      <w:r w:rsidR="00D77736" w:rsidRPr="0044196C">
        <w:rPr>
          <w:color w:val="000000" w:themeColor="text1"/>
        </w:rPr>
        <w:t xml:space="preserve"> </w:t>
      </w:r>
      <w:r w:rsidRPr="0044196C">
        <w:rPr>
          <w:color w:val="000000" w:themeColor="text1"/>
        </w:rPr>
        <w:t>лечения</w:t>
      </w:r>
      <w:r w:rsidR="00D77736" w:rsidRPr="0044196C">
        <w:rPr>
          <w:color w:val="000000" w:themeColor="text1"/>
        </w:rPr>
        <w:t xml:space="preserve"> </w:t>
      </w:r>
      <w:r w:rsidRPr="0044196C">
        <w:rPr>
          <w:color w:val="000000" w:themeColor="text1"/>
        </w:rPr>
        <w:t>БРА</w:t>
      </w:r>
      <w:r w:rsidR="00D77736" w:rsidRPr="0044196C">
        <w:rPr>
          <w:color w:val="000000" w:themeColor="text1"/>
        </w:rPr>
        <w:t xml:space="preserve"> </w:t>
      </w:r>
      <w:r w:rsidRPr="0044196C">
        <w:rPr>
          <w:color w:val="000000" w:themeColor="text1"/>
        </w:rPr>
        <w:t>олмесартаном</w:t>
      </w:r>
      <w:r w:rsidR="00D77736" w:rsidRPr="0044196C">
        <w:rPr>
          <w:color w:val="000000" w:themeColor="text1"/>
        </w:rPr>
        <w:t xml:space="preserve"> </w:t>
      </w:r>
      <w:r w:rsidRPr="0044196C">
        <w:rPr>
          <w:color w:val="000000" w:themeColor="text1"/>
        </w:rPr>
        <w:t>в</w:t>
      </w:r>
      <w:r w:rsidR="00D77736" w:rsidRPr="0044196C">
        <w:rPr>
          <w:color w:val="000000" w:themeColor="text1"/>
        </w:rPr>
        <w:t xml:space="preserve"> </w:t>
      </w:r>
      <w:r w:rsidRPr="0044196C">
        <w:rPr>
          <w:color w:val="000000" w:themeColor="text1"/>
        </w:rPr>
        <w:t>сочетании</w:t>
      </w:r>
      <w:r w:rsidR="00D77736" w:rsidRPr="0044196C">
        <w:rPr>
          <w:color w:val="000000" w:themeColor="text1"/>
        </w:rPr>
        <w:t xml:space="preserve"> </w:t>
      </w:r>
      <w:r w:rsidRPr="0044196C">
        <w:rPr>
          <w:color w:val="000000" w:themeColor="text1"/>
        </w:rPr>
        <w:t>с</w:t>
      </w:r>
      <w:r w:rsidR="00D77736" w:rsidRPr="0044196C">
        <w:rPr>
          <w:color w:val="000000" w:themeColor="text1"/>
        </w:rPr>
        <w:t xml:space="preserve"> </w:t>
      </w:r>
      <w:r w:rsidRPr="0044196C">
        <w:rPr>
          <w:color w:val="000000" w:themeColor="text1"/>
        </w:rPr>
        <w:t>антагонистом</w:t>
      </w:r>
      <w:r w:rsidR="00D77736" w:rsidRPr="0044196C">
        <w:rPr>
          <w:color w:val="000000" w:themeColor="text1"/>
        </w:rPr>
        <w:t xml:space="preserve"> </w:t>
      </w:r>
      <w:r w:rsidRPr="0044196C">
        <w:rPr>
          <w:color w:val="000000" w:themeColor="text1"/>
        </w:rPr>
        <w:t>кальция</w:t>
      </w:r>
      <w:r w:rsidR="00D77736" w:rsidRPr="0044196C">
        <w:rPr>
          <w:color w:val="000000" w:themeColor="text1"/>
        </w:rPr>
        <w:t xml:space="preserve"> </w:t>
      </w:r>
      <w:r w:rsidRPr="0044196C">
        <w:rPr>
          <w:color w:val="000000" w:themeColor="text1"/>
        </w:rPr>
        <w:t>амлодипином</w:t>
      </w:r>
      <w:r w:rsidR="00D77736" w:rsidRPr="0044196C">
        <w:rPr>
          <w:color w:val="000000" w:themeColor="text1"/>
        </w:rPr>
        <w:t xml:space="preserve"> </w:t>
      </w:r>
      <w:r w:rsidRPr="0044196C">
        <w:rPr>
          <w:color w:val="000000" w:themeColor="text1"/>
        </w:rPr>
        <w:t>по</w:t>
      </w:r>
      <w:r w:rsidR="00D77736" w:rsidRPr="0044196C">
        <w:rPr>
          <w:color w:val="000000" w:themeColor="text1"/>
        </w:rPr>
        <w:t xml:space="preserve"> </w:t>
      </w:r>
      <w:r w:rsidRPr="0044196C">
        <w:rPr>
          <w:color w:val="000000" w:themeColor="text1"/>
        </w:rPr>
        <w:t>сравнению</w:t>
      </w:r>
      <w:r w:rsidR="00D77736" w:rsidRPr="0044196C">
        <w:rPr>
          <w:color w:val="000000" w:themeColor="text1"/>
        </w:rPr>
        <w:t xml:space="preserve"> </w:t>
      </w:r>
      <w:r w:rsidRPr="0044196C">
        <w:rPr>
          <w:color w:val="000000" w:themeColor="text1"/>
        </w:rPr>
        <w:t>с</w:t>
      </w:r>
      <w:r w:rsidR="00D77736" w:rsidRPr="0044196C">
        <w:rPr>
          <w:color w:val="000000" w:themeColor="text1"/>
        </w:rPr>
        <w:t xml:space="preserve"> </w:t>
      </w:r>
      <w:r w:rsidRPr="0044196C">
        <w:rPr>
          <w:color w:val="000000" w:themeColor="text1"/>
        </w:rPr>
        <w:t>монотерапией</w:t>
      </w:r>
      <w:r w:rsidR="00D77736" w:rsidRPr="0044196C">
        <w:rPr>
          <w:color w:val="000000" w:themeColor="text1"/>
        </w:rPr>
        <w:t xml:space="preserve"> </w:t>
      </w:r>
      <w:r w:rsidRPr="0044196C">
        <w:rPr>
          <w:color w:val="000000" w:themeColor="text1"/>
        </w:rPr>
        <w:t>БРА</w:t>
      </w:r>
      <w:r w:rsidR="00D77736" w:rsidRPr="0044196C">
        <w:rPr>
          <w:color w:val="000000" w:themeColor="text1"/>
        </w:rPr>
        <w:t xml:space="preserve"> </w:t>
      </w:r>
      <w:r w:rsidRPr="0044196C">
        <w:rPr>
          <w:color w:val="000000" w:themeColor="text1"/>
        </w:rPr>
        <w:t>в</w:t>
      </w:r>
      <w:r w:rsidR="00D77736" w:rsidRPr="0044196C">
        <w:rPr>
          <w:color w:val="000000" w:themeColor="text1"/>
        </w:rPr>
        <w:t xml:space="preserve"> </w:t>
      </w:r>
      <w:r w:rsidRPr="0044196C">
        <w:rPr>
          <w:color w:val="000000" w:themeColor="text1"/>
        </w:rPr>
        <w:t>высокой</w:t>
      </w:r>
      <w:r w:rsidR="00D77736" w:rsidRPr="0044196C">
        <w:rPr>
          <w:color w:val="000000" w:themeColor="text1"/>
        </w:rPr>
        <w:t xml:space="preserve"> </w:t>
      </w:r>
      <w:r w:rsidRPr="0044196C">
        <w:rPr>
          <w:color w:val="000000" w:themeColor="text1"/>
        </w:rPr>
        <w:t>дозе</w:t>
      </w:r>
      <w:r w:rsidR="00D77736" w:rsidRPr="0044196C">
        <w:rPr>
          <w:color w:val="000000" w:themeColor="text1"/>
        </w:rPr>
        <w:t xml:space="preserve"> </w:t>
      </w:r>
      <w:r w:rsidR="009D7C63" w:rsidRPr="0044196C">
        <w:rPr>
          <w:color w:val="000000" w:themeColor="text1"/>
        </w:rPr>
        <w:fldChar w:fldCharType="begin" w:fldLock="1"/>
      </w:r>
      <w:r w:rsidR="00EA3B99" w:rsidRPr="0044196C">
        <w:rPr>
          <w:color w:val="000000" w:themeColor="text1"/>
          <w:lang w:val="en-US"/>
        </w:rPr>
        <w:instrText>ADDIN</w:instrText>
      </w:r>
      <w:r w:rsidR="00EA3B99" w:rsidRPr="0044196C">
        <w:rPr>
          <w:color w:val="000000" w:themeColor="text1"/>
        </w:rPr>
        <w:instrText xml:space="preserve"> </w:instrText>
      </w:r>
      <w:r w:rsidR="00EA3B99" w:rsidRPr="0044196C">
        <w:rPr>
          <w:color w:val="000000" w:themeColor="text1"/>
          <w:lang w:val="en-US"/>
        </w:rPr>
        <w:instrText>CSL</w:instrText>
      </w:r>
      <w:r w:rsidR="00EA3B99" w:rsidRPr="0044196C">
        <w:rPr>
          <w:color w:val="000000" w:themeColor="text1"/>
        </w:rPr>
        <w:instrText>_</w:instrText>
      </w:r>
      <w:r w:rsidR="00EA3B99" w:rsidRPr="0044196C">
        <w:rPr>
          <w:color w:val="000000" w:themeColor="text1"/>
          <w:lang w:val="en-US"/>
        </w:rPr>
        <w:instrText>CITATION</w:instrText>
      </w:r>
      <w:r w:rsidR="00EA3B99" w:rsidRPr="0044196C">
        <w:rPr>
          <w:color w:val="000000" w:themeColor="text1"/>
        </w:rPr>
        <w:instrText xml:space="preserve"> { "</w:instrText>
      </w:r>
      <w:r w:rsidR="00EA3B99" w:rsidRPr="0044196C">
        <w:rPr>
          <w:color w:val="000000" w:themeColor="text1"/>
          <w:lang w:val="en-US"/>
        </w:rPr>
        <w:instrText>citationItems</w:instrText>
      </w:r>
      <w:r w:rsidR="00EA3B99" w:rsidRPr="0044196C">
        <w:rPr>
          <w:color w:val="000000" w:themeColor="text1"/>
        </w:rPr>
        <w:instrText>" : [ {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itemData</w:instrText>
      </w:r>
      <w:r w:rsidR="00EA3B99" w:rsidRPr="0044196C">
        <w:rPr>
          <w:color w:val="000000" w:themeColor="text1"/>
        </w:rPr>
        <w:instrText>" : { "</w:instrText>
      </w:r>
      <w:r w:rsidR="00EA3B99" w:rsidRPr="0044196C">
        <w:rPr>
          <w:color w:val="000000" w:themeColor="text1"/>
          <w:lang w:val="en-US"/>
        </w:rPr>
        <w:instrText>author</w:instrText>
      </w:r>
      <w:r w:rsidR="00EA3B99" w:rsidRPr="0044196C">
        <w:rPr>
          <w:color w:val="000000" w:themeColor="text1"/>
        </w:rPr>
        <w:instrText>" : [ { "</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family</w:instrText>
      </w:r>
      <w:r w:rsidR="00EA3B99" w:rsidRPr="0044196C">
        <w:rPr>
          <w:color w:val="000000" w:themeColor="text1"/>
        </w:rPr>
        <w:instrText>" : "</w:instrText>
      </w:r>
      <w:r w:rsidR="00EA3B99" w:rsidRPr="0044196C">
        <w:rPr>
          <w:color w:val="000000" w:themeColor="text1"/>
          <w:lang w:val="en-US"/>
        </w:rPr>
        <w:instrText>Kim</w:instrText>
      </w:r>
      <w:r w:rsidR="00EA3B99" w:rsidRPr="0044196C">
        <w:rPr>
          <w:color w:val="000000" w:themeColor="text1"/>
        </w:rPr>
        <w:instrText>-</w:instrText>
      </w:r>
      <w:r w:rsidR="00EA3B99" w:rsidRPr="0044196C">
        <w:rPr>
          <w:color w:val="000000" w:themeColor="text1"/>
          <w:lang w:val="en-US"/>
        </w:rPr>
        <w:instrText>Mitsuyama</w:instrText>
      </w:r>
      <w:r w:rsidR="00EA3B99" w:rsidRPr="0044196C">
        <w:rPr>
          <w:color w:val="000000" w:themeColor="text1"/>
        </w:rPr>
        <w:instrText xml:space="preserve"> </w:instrText>
      </w:r>
      <w:r w:rsidR="00EA3B99" w:rsidRPr="0044196C">
        <w:rPr>
          <w:color w:val="000000" w:themeColor="text1"/>
          <w:lang w:val="en-US"/>
        </w:rPr>
        <w:instrText>S</w:instrText>
      </w:r>
      <w:r w:rsidR="00EA3B99" w:rsidRPr="0044196C">
        <w:rPr>
          <w:color w:val="000000" w:themeColor="text1"/>
        </w:rPr>
        <w:instrText xml:space="preserve">, </w:instrText>
      </w:r>
      <w:r w:rsidR="00EA3B99" w:rsidRPr="0044196C">
        <w:rPr>
          <w:color w:val="000000" w:themeColor="text1"/>
          <w:lang w:val="en-US"/>
        </w:rPr>
        <w:instrText>Ogawa</w:instrText>
      </w:r>
      <w:r w:rsidR="00EA3B99" w:rsidRPr="0044196C">
        <w:rPr>
          <w:color w:val="000000" w:themeColor="text1"/>
        </w:rPr>
        <w:instrText xml:space="preserve"> </w:instrText>
      </w:r>
      <w:r w:rsidR="00EA3B99" w:rsidRPr="0044196C">
        <w:rPr>
          <w:color w:val="000000" w:themeColor="text1"/>
          <w:lang w:val="en-US"/>
        </w:rPr>
        <w:instrText>H</w:instrText>
      </w:r>
      <w:r w:rsidR="00EA3B99" w:rsidRPr="0044196C">
        <w:rPr>
          <w:color w:val="000000" w:themeColor="text1"/>
        </w:rPr>
        <w:instrText>", "</w:instrText>
      </w:r>
      <w:r w:rsidR="00EA3B99" w:rsidRPr="0044196C">
        <w:rPr>
          <w:color w:val="000000" w:themeColor="text1"/>
          <w:lang w:val="en-US"/>
        </w:rPr>
        <w:instrText>given</w:instrText>
      </w:r>
      <w:r w:rsidR="00EA3B99" w:rsidRPr="0044196C">
        <w:rPr>
          <w:color w:val="000000" w:themeColor="text1"/>
        </w:rPr>
        <w:instrText>" : "</w:instrText>
      </w:r>
      <w:r w:rsidR="00EA3B99" w:rsidRPr="0044196C">
        <w:rPr>
          <w:color w:val="000000" w:themeColor="text1"/>
          <w:lang w:val="en-US"/>
        </w:rPr>
        <w:instrText>Matsui</w:instrText>
      </w:r>
      <w:r w:rsidR="00EA3B99" w:rsidRPr="0044196C">
        <w:rPr>
          <w:color w:val="000000" w:themeColor="text1"/>
        </w:rPr>
        <w:instrText xml:space="preserve"> </w:instrText>
      </w:r>
      <w:r w:rsidR="00EA3B99" w:rsidRPr="0044196C">
        <w:rPr>
          <w:color w:val="000000" w:themeColor="text1"/>
          <w:lang w:val="en-US"/>
        </w:rPr>
        <w:instrText>K</w:instrText>
      </w:r>
      <w:r w:rsidR="00EA3B99" w:rsidRPr="0044196C">
        <w:rPr>
          <w:color w:val="000000" w:themeColor="text1"/>
        </w:rPr>
        <w:instrText>", "</w:instrText>
      </w:r>
      <w:r w:rsidR="00EA3B99" w:rsidRPr="0044196C">
        <w:rPr>
          <w:color w:val="000000" w:themeColor="text1"/>
          <w:lang w:val="en-US"/>
        </w:rPr>
        <w:instrText>non</w:instrText>
      </w:r>
      <w:r w:rsidR="00EA3B99" w:rsidRPr="0044196C">
        <w:rPr>
          <w:color w:val="000000" w:themeColor="text1"/>
        </w:rPr>
        <w:instrText>-</w:instrText>
      </w:r>
      <w:r w:rsidR="00EA3B99" w:rsidRPr="0044196C">
        <w:rPr>
          <w:color w:val="000000" w:themeColor="text1"/>
          <w:lang w:val="en-US"/>
        </w:rPr>
        <w:instrText>dropping</w:instrText>
      </w:r>
      <w:r w:rsidR="00EA3B99" w:rsidRPr="0044196C">
        <w:rPr>
          <w:color w:val="000000" w:themeColor="text1"/>
        </w:rPr>
        <w:instrText>-</w:instrText>
      </w:r>
      <w:r w:rsidR="00EA3B99" w:rsidRPr="0044196C">
        <w:rPr>
          <w:color w:val="000000" w:themeColor="text1"/>
          <w:lang w:val="en-US"/>
        </w:rPr>
        <w:instrText>particle</w:instrText>
      </w:r>
      <w:r w:rsidR="00EA3B99" w:rsidRPr="0044196C">
        <w:rPr>
          <w:color w:val="000000" w:themeColor="text1"/>
        </w:rPr>
        <w:instrText>" : "", "</w:instrText>
      </w:r>
      <w:r w:rsidR="00EA3B99" w:rsidRPr="0044196C">
        <w:rPr>
          <w:color w:val="000000" w:themeColor="text1"/>
          <w:lang w:val="en-US"/>
        </w:rPr>
        <w:instrText>parse</w:instrText>
      </w:r>
      <w:r w:rsidR="00EA3B99" w:rsidRPr="0044196C">
        <w:rPr>
          <w:color w:val="000000" w:themeColor="text1"/>
        </w:rPr>
        <w:instrText>-</w:instrText>
      </w:r>
      <w:r w:rsidR="00EA3B99" w:rsidRPr="0044196C">
        <w:rPr>
          <w:color w:val="000000" w:themeColor="text1"/>
          <w:lang w:val="en-US"/>
        </w:rPr>
        <w:instrText>names</w:instrText>
      </w:r>
      <w:r w:rsidR="00EA3B99" w:rsidRPr="0044196C">
        <w:rPr>
          <w:color w:val="000000" w:themeColor="text1"/>
        </w:rPr>
        <w:instrText xml:space="preserve">" : </w:instrText>
      </w:r>
      <w:r w:rsidR="00EA3B99" w:rsidRPr="0044196C">
        <w:rPr>
          <w:color w:val="000000" w:themeColor="text1"/>
          <w:lang w:val="en-US"/>
        </w:rPr>
        <w:instrText>false</w:instrText>
      </w:r>
      <w:r w:rsidR="00EA3B99" w:rsidRPr="0044196C">
        <w:rPr>
          <w:color w:val="000000" w:themeColor="text1"/>
        </w:rPr>
        <w:instrText>, "</w:instrText>
      </w:r>
      <w:r w:rsidR="00EA3B99" w:rsidRPr="0044196C">
        <w:rPr>
          <w:color w:val="000000" w:themeColor="text1"/>
          <w:lang w:val="en-US"/>
        </w:rPr>
        <w:instrText>suffix</w:instrText>
      </w:r>
      <w:r w:rsidR="00EA3B99" w:rsidRPr="0044196C">
        <w:rPr>
          <w:color w:val="000000" w:themeColor="text1"/>
        </w:rPr>
        <w:instrText>" : "" } ], "</w:instrText>
      </w:r>
      <w:r w:rsidR="00EA3B99" w:rsidRPr="0044196C">
        <w:rPr>
          <w:color w:val="000000" w:themeColor="text1"/>
          <w:lang w:val="en-US"/>
        </w:rPr>
        <w:instrText>container</w:instrText>
      </w:r>
      <w:r w:rsidR="00EA3B99" w:rsidRPr="0044196C">
        <w:rPr>
          <w:color w:val="000000" w:themeColor="text1"/>
        </w:rPr>
        <w:instrText>-</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international</w:instrText>
      </w:r>
      <w:r w:rsidR="00EA3B99" w:rsidRPr="0044196C">
        <w:rPr>
          <w:color w:val="000000" w:themeColor="text1"/>
        </w:rPr>
        <w:instrText>", "</w:instrText>
      </w:r>
      <w:r w:rsidR="00EA3B99" w:rsidRPr="0044196C">
        <w:rPr>
          <w:color w:val="000000" w:themeColor="text1"/>
          <w:lang w:val="en-US"/>
        </w:rPr>
        <w:instrText>id</w:instrText>
      </w:r>
      <w:r w:rsidR="00EA3B99" w:rsidRPr="0044196C">
        <w:rPr>
          <w:color w:val="000000" w:themeColor="text1"/>
        </w:rPr>
        <w:instrText>" : "</w:instrText>
      </w:r>
      <w:r w:rsidR="00EA3B99" w:rsidRPr="0044196C">
        <w:rPr>
          <w:color w:val="000000" w:themeColor="text1"/>
          <w:lang w:val="en-US"/>
        </w:rPr>
        <w:instrText>ITEM</w:instrText>
      </w:r>
      <w:r w:rsidR="00EA3B99" w:rsidRPr="0044196C">
        <w:rPr>
          <w:color w:val="000000" w:themeColor="text1"/>
        </w:rPr>
        <w:instrText>-1", "</w:instrText>
      </w:r>
      <w:r w:rsidR="00EA3B99" w:rsidRPr="0044196C">
        <w:rPr>
          <w:color w:val="000000" w:themeColor="text1"/>
          <w:lang w:val="en-US"/>
        </w:rPr>
        <w:instrText>issued</w:instrText>
      </w:r>
      <w:r w:rsidR="00EA3B99" w:rsidRPr="0044196C">
        <w:rPr>
          <w:color w:val="000000" w:themeColor="text1"/>
        </w:rPr>
        <w:instrText>" : { "</w:instrText>
      </w:r>
      <w:r w:rsidR="00EA3B99" w:rsidRPr="0044196C">
        <w:rPr>
          <w:color w:val="000000" w:themeColor="text1"/>
          <w:lang w:val="en-US"/>
        </w:rPr>
        <w:instrText>date</w:instrText>
      </w:r>
      <w:r w:rsidR="00EA3B99" w:rsidRPr="0044196C">
        <w:rPr>
          <w:color w:val="000000" w:themeColor="text1"/>
        </w:rPr>
        <w:instrText>-</w:instrText>
      </w:r>
      <w:r w:rsidR="00EA3B99" w:rsidRPr="0044196C">
        <w:rPr>
          <w:color w:val="000000" w:themeColor="text1"/>
          <w:lang w:val="en-US"/>
        </w:rPr>
        <w:instrText>parts</w:instrText>
      </w:r>
      <w:r w:rsidR="00EA3B99" w:rsidRPr="0044196C">
        <w:rPr>
          <w:color w:val="000000" w:themeColor="text1"/>
        </w:rPr>
        <w:instrText>" : [ [ "2013" ] ] }, "</w:instrText>
      </w:r>
      <w:r w:rsidR="00EA3B99" w:rsidRPr="0044196C">
        <w:rPr>
          <w:color w:val="000000" w:themeColor="text1"/>
          <w:lang w:val="en-US"/>
        </w:rPr>
        <w:instrText>page</w:instrText>
      </w:r>
      <w:r w:rsidR="00EA3B99" w:rsidRPr="0044196C">
        <w:rPr>
          <w:color w:val="000000" w:themeColor="text1"/>
        </w:rPr>
        <w:instrText>" : "167\</w:instrText>
      </w:r>
      <w:r w:rsidR="00EA3B99" w:rsidRPr="0044196C">
        <w:rPr>
          <w:color w:val="000000" w:themeColor="text1"/>
          <w:lang w:val="en-US"/>
        </w:rPr>
        <w:instrText>u</w:instrText>
      </w:r>
      <w:r w:rsidR="00EA3B99" w:rsidRPr="0044196C">
        <w:rPr>
          <w:color w:val="000000" w:themeColor="text1"/>
        </w:rPr>
        <w:instrText>2013176", "</w:instrText>
      </w:r>
      <w:r w:rsidR="00EA3B99" w:rsidRPr="0044196C">
        <w:rPr>
          <w:color w:val="000000" w:themeColor="text1"/>
          <w:lang w:val="en-US"/>
        </w:rPr>
        <w:instrText>title</w:instrText>
      </w:r>
      <w:r w:rsidR="00EA3B99" w:rsidRPr="0044196C">
        <w:rPr>
          <w:color w:val="000000" w:themeColor="text1"/>
        </w:rPr>
        <w:instrText>" : "</w:instrText>
      </w:r>
      <w:r w:rsidR="00EA3B99" w:rsidRPr="0044196C">
        <w:rPr>
          <w:color w:val="000000" w:themeColor="text1"/>
          <w:lang w:val="en-US"/>
        </w:rPr>
        <w:instrText>An</w:instrText>
      </w:r>
      <w:r w:rsidR="00EA3B99" w:rsidRPr="0044196C">
        <w:rPr>
          <w:color w:val="000000" w:themeColor="text1"/>
        </w:rPr>
        <w:instrText xml:space="preserve"> </w:instrText>
      </w:r>
      <w:r w:rsidR="00EA3B99" w:rsidRPr="0044196C">
        <w:rPr>
          <w:color w:val="000000" w:themeColor="text1"/>
          <w:lang w:val="en-US"/>
        </w:rPr>
        <w:instrText>angiotensin</w:instrText>
      </w:r>
      <w:r w:rsidR="00EA3B99" w:rsidRPr="0044196C">
        <w:rPr>
          <w:color w:val="000000" w:themeColor="text1"/>
        </w:rPr>
        <w:instrText xml:space="preserve"> </w:instrText>
      </w:r>
      <w:r w:rsidR="00EA3B99" w:rsidRPr="0044196C">
        <w:rPr>
          <w:color w:val="000000" w:themeColor="text1"/>
          <w:lang w:val="en-US"/>
        </w:rPr>
        <w:instrText>II</w:instrText>
      </w:r>
      <w:r w:rsidR="00EA3B99" w:rsidRPr="0044196C">
        <w:rPr>
          <w:color w:val="000000" w:themeColor="text1"/>
        </w:rPr>
        <w:instrText xml:space="preserve"> </w:instrText>
      </w:r>
      <w:r w:rsidR="00EA3B99" w:rsidRPr="0044196C">
        <w:rPr>
          <w:color w:val="000000" w:themeColor="text1"/>
          <w:lang w:val="en-US"/>
        </w:rPr>
        <w:instrText>receptor</w:instrText>
      </w:r>
      <w:r w:rsidR="00EA3B99" w:rsidRPr="0044196C">
        <w:rPr>
          <w:color w:val="000000" w:themeColor="text1"/>
        </w:rPr>
        <w:instrText xml:space="preserve"> </w:instrText>
      </w:r>
      <w:r w:rsidR="00EA3B99" w:rsidRPr="0044196C">
        <w:rPr>
          <w:color w:val="000000" w:themeColor="text1"/>
          <w:lang w:val="en-US"/>
        </w:rPr>
        <w:instrText>blocker</w:instrText>
      </w:r>
      <w:r w:rsidR="00EA3B99" w:rsidRPr="0044196C">
        <w:rPr>
          <w:color w:val="000000" w:themeColor="text1"/>
        </w:rPr>
        <w:instrText>\</w:instrText>
      </w:r>
      <w:r w:rsidR="00EA3B99" w:rsidRPr="0044196C">
        <w:rPr>
          <w:color w:val="000000" w:themeColor="text1"/>
          <w:lang w:val="en-US"/>
        </w:rPr>
        <w:instrText>u</w:instrText>
      </w:r>
      <w:r w:rsidR="00EA3B99" w:rsidRPr="0044196C">
        <w:rPr>
          <w:color w:val="000000" w:themeColor="text1"/>
        </w:rPr>
        <w:instrText>2013</w:instrText>
      </w:r>
      <w:r w:rsidR="00EA3B99" w:rsidRPr="0044196C">
        <w:rPr>
          <w:color w:val="000000" w:themeColor="text1"/>
          <w:lang w:val="en-US"/>
        </w:rPr>
        <w:instrText>calcium</w:instrText>
      </w:r>
      <w:r w:rsidR="00EA3B99" w:rsidRPr="0044196C">
        <w:rPr>
          <w:color w:val="000000" w:themeColor="text1"/>
        </w:rPr>
        <w:instrText xml:space="preserve"> </w:instrText>
      </w:r>
      <w:r w:rsidR="00EA3B99" w:rsidRPr="0044196C">
        <w:rPr>
          <w:color w:val="000000" w:themeColor="text1"/>
          <w:lang w:val="en-US"/>
        </w:rPr>
        <w:instrText>channel</w:instrText>
      </w:r>
      <w:r w:rsidR="00EA3B99" w:rsidRPr="0044196C">
        <w:rPr>
          <w:color w:val="000000" w:themeColor="text1"/>
        </w:rPr>
        <w:instrText xml:space="preserve"> </w:instrText>
      </w:r>
      <w:r w:rsidR="00EA3B99" w:rsidRPr="0044196C">
        <w:rPr>
          <w:color w:val="000000" w:themeColor="text1"/>
          <w:lang w:val="en-US"/>
        </w:rPr>
        <w:instrText>blocker</w:instrText>
      </w:r>
      <w:r w:rsidR="00EA3B99" w:rsidRPr="0044196C">
        <w:rPr>
          <w:color w:val="000000" w:themeColor="text1"/>
        </w:rPr>
        <w:instrText xml:space="preserve"> </w:instrText>
      </w:r>
      <w:r w:rsidR="00EA3B99" w:rsidRPr="0044196C">
        <w:rPr>
          <w:color w:val="000000" w:themeColor="text1"/>
          <w:lang w:val="en-US"/>
        </w:rPr>
        <w:instrText>combination</w:instrText>
      </w:r>
      <w:r w:rsidR="00EA3B99" w:rsidRPr="0044196C">
        <w:rPr>
          <w:color w:val="000000" w:themeColor="text1"/>
        </w:rPr>
        <w:instrText xml:space="preserve"> </w:instrText>
      </w:r>
      <w:r w:rsidR="00EA3B99" w:rsidRPr="0044196C">
        <w:rPr>
          <w:color w:val="000000" w:themeColor="text1"/>
          <w:lang w:val="en-US"/>
        </w:rPr>
        <w:instrText>prevents</w:instrText>
      </w:r>
      <w:r w:rsidR="00EA3B99" w:rsidRPr="0044196C">
        <w:rPr>
          <w:color w:val="000000" w:themeColor="text1"/>
        </w:rPr>
        <w:instrText xml:space="preserve"> </w:instrText>
      </w:r>
      <w:r w:rsidR="00EA3B99" w:rsidRPr="0044196C">
        <w:rPr>
          <w:color w:val="000000" w:themeColor="text1"/>
          <w:lang w:val="en-US"/>
        </w:rPr>
        <w:instrText>cardiovascular</w:instrText>
      </w:r>
      <w:r w:rsidR="00EA3B99" w:rsidRPr="0044196C">
        <w:rPr>
          <w:color w:val="000000" w:themeColor="text1"/>
        </w:rPr>
        <w:instrText xml:space="preserve"> </w:instrText>
      </w:r>
      <w:r w:rsidR="00EA3B99" w:rsidRPr="0044196C">
        <w:rPr>
          <w:color w:val="000000" w:themeColor="text1"/>
          <w:lang w:val="en-US"/>
        </w:rPr>
        <w:instrText>events</w:instrText>
      </w:r>
      <w:r w:rsidR="00EA3B99" w:rsidRPr="0044196C">
        <w:rPr>
          <w:color w:val="000000" w:themeColor="text1"/>
        </w:rPr>
        <w:instrText xml:space="preserve"> </w:instrText>
      </w:r>
      <w:r w:rsidR="00EA3B99" w:rsidRPr="0044196C">
        <w:rPr>
          <w:color w:val="000000" w:themeColor="text1"/>
          <w:lang w:val="en-US"/>
        </w:rPr>
        <w:instrText>in</w:instrText>
      </w:r>
      <w:r w:rsidR="00EA3B99" w:rsidRPr="0044196C">
        <w:rPr>
          <w:color w:val="000000" w:themeColor="text1"/>
        </w:rPr>
        <w:instrText xml:space="preserve"> </w:instrText>
      </w:r>
      <w:r w:rsidR="00EA3B99" w:rsidRPr="0044196C">
        <w:rPr>
          <w:color w:val="000000" w:themeColor="text1"/>
          <w:lang w:val="en-US"/>
        </w:rPr>
        <w:instrText>elderly</w:instrText>
      </w:r>
      <w:r w:rsidR="00EA3B99" w:rsidRPr="0044196C">
        <w:rPr>
          <w:color w:val="000000" w:themeColor="text1"/>
        </w:rPr>
        <w:instrText xml:space="preserve"> </w:instrText>
      </w:r>
      <w:r w:rsidR="00EA3B99" w:rsidRPr="0044196C">
        <w:rPr>
          <w:color w:val="000000" w:themeColor="text1"/>
          <w:lang w:val="en-US"/>
        </w:rPr>
        <w:instrText>high</w:instrText>
      </w:r>
      <w:r w:rsidR="00EA3B99" w:rsidRPr="0044196C">
        <w:rPr>
          <w:color w:val="000000" w:themeColor="text1"/>
        </w:rPr>
        <w:instrText>-</w:instrText>
      </w:r>
      <w:r w:rsidR="00EA3B99" w:rsidRPr="0044196C">
        <w:rPr>
          <w:color w:val="000000" w:themeColor="text1"/>
          <w:lang w:val="en-US"/>
        </w:rPr>
        <w:instrText>risk</w:instrText>
      </w:r>
      <w:r w:rsidR="00EA3B99" w:rsidRPr="0044196C">
        <w:rPr>
          <w:color w:val="000000" w:themeColor="text1"/>
        </w:rPr>
        <w:instrText xml:space="preserve"> </w:instrText>
      </w:r>
      <w:r w:rsidR="00EA3B99" w:rsidRPr="0044196C">
        <w:rPr>
          <w:color w:val="000000" w:themeColor="text1"/>
          <w:lang w:val="en-US"/>
        </w:rPr>
        <w:instrText>hypertensive</w:instrText>
      </w:r>
      <w:r w:rsidR="00EA3B99" w:rsidRPr="0044196C">
        <w:rPr>
          <w:color w:val="000000" w:themeColor="text1"/>
        </w:rPr>
        <w:instrText xml:space="preserve"> </w:instrText>
      </w:r>
      <w:r w:rsidR="00EA3B99" w:rsidRPr="0044196C">
        <w:rPr>
          <w:color w:val="000000" w:themeColor="text1"/>
          <w:lang w:val="en-US"/>
        </w:rPr>
        <w:instrText>patients</w:instrText>
      </w:r>
      <w:r w:rsidR="00EA3B99" w:rsidRPr="0044196C">
        <w:rPr>
          <w:color w:val="000000" w:themeColor="text1"/>
        </w:rPr>
        <w:instrText xml:space="preserve"> </w:instrText>
      </w:r>
      <w:r w:rsidR="00EA3B99" w:rsidRPr="0044196C">
        <w:rPr>
          <w:color w:val="000000" w:themeColor="text1"/>
          <w:lang w:val="en-US"/>
        </w:rPr>
        <w:instrText>with</w:instrText>
      </w:r>
      <w:r w:rsidR="00EA3B99" w:rsidRPr="0044196C">
        <w:rPr>
          <w:color w:val="000000" w:themeColor="text1"/>
        </w:rPr>
        <w:instrText xml:space="preserve"> </w:instrText>
      </w:r>
      <w:r w:rsidR="00EA3B99" w:rsidRPr="0044196C">
        <w:rPr>
          <w:color w:val="000000" w:themeColor="text1"/>
          <w:lang w:val="en-US"/>
        </w:rPr>
        <w:instrText>chronic</w:instrText>
      </w:r>
      <w:r w:rsidR="00EA3B99" w:rsidRPr="0044196C">
        <w:rPr>
          <w:color w:val="000000" w:themeColor="text1"/>
        </w:rPr>
        <w:instrText xml:space="preserve"> </w:instrText>
      </w:r>
      <w:r w:rsidR="00EA3B99" w:rsidRPr="0044196C">
        <w:rPr>
          <w:color w:val="000000" w:themeColor="text1"/>
          <w:lang w:val="en-US"/>
        </w:rPr>
        <w:instrText>kidney</w:instrText>
      </w:r>
      <w:r w:rsidR="00EA3B99" w:rsidRPr="0044196C">
        <w:rPr>
          <w:color w:val="000000" w:themeColor="text1"/>
        </w:rPr>
        <w:instrText xml:space="preserve"> </w:instrText>
      </w:r>
      <w:r w:rsidR="00EA3B99" w:rsidRPr="0044196C">
        <w:rPr>
          <w:color w:val="000000" w:themeColor="text1"/>
          <w:lang w:val="en-US"/>
        </w:rPr>
        <w:instrText>disease</w:instrText>
      </w:r>
      <w:r w:rsidR="00EA3B99" w:rsidRPr="0044196C">
        <w:rPr>
          <w:color w:val="000000" w:themeColor="text1"/>
        </w:rPr>
        <w:instrText xml:space="preserve"> </w:instrText>
      </w:r>
      <w:r w:rsidR="00EA3B99" w:rsidRPr="0044196C">
        <w:rPr>
          <w:color w:val="000000" w:themeColor="text1"/>
          <w:lang w:val="en-US"/>
        </w:rPr>
        <w:instrText>better</w:instrText>
      </w:r>
      <w:r w:rsidR="00EA3B99" w:rsidRPr="0044196C">
        <w:rPr>
          <w:color w:val="000000" w:themeColor="text1"/>
        </w:rPr>
        <w:instrText xml:space="preserve"> </w:instrText>
      </w:r>
      <w:r w:rsidR="00EA3B99" w:rsidRPr="0044196C">
        <w:rPr>
          <w:color w:val="000000" w:themeColor="text1"/>
          <w:lang w:val="en-US"/>
        </w:rPr>
        <w:instrText>than</w:instrText>
      </w:r>
      <w:r w:rsidR="00EA3B99" w:rsidRPr="0044196C">
        <w:rPr>
          <w:color w:val="000000" w:themeColor="text1"/>
        </w:rPr>
        <w:instrText xml:space="preserve"> </w:instrText>
      </w:r>
      <w:r w:rsidR="00EA3B99" w:rsidRPr="0044196C">
        <w:rPr>
          <w:color w:val="000000" w:themeColor="text1"/>
          <w:lang w:val="en-US"/>
        </w:rPr>
        <w:instrText>high</w:instrText>
      </w:r>
      <w:r w:rsidR="00EA3B99" w:rsidRPr="0044196C">
        <w:rPr>
          <w:color w:val="000000" w:themeColor="text1"/>
        </w:rPr>
        <w:instrText>-</w:instrText>
      </w:r>
      <w:r w:rsidR="00EA3B99" w:rsidRPr="0044196C">
        <w:rPr>
          <w:color w:val="000000" w:themeColor="text1"/>
          <w:lang w:val="en-US"/>
        </w:rPr>
        <w:instrText>dose</w:instrText>
      </w:r>
      <w:r w:rsidR="00EA3B99" w:rsidRPr="0044196C">
        <w:rPr>
          <w:color w:val="000000" w:themeColor="text1"/>
        </w:rPr>
        <w:instrText xml:space="preserve"> </w:instrText>
      </w:r>
      <w:r w:rsidR="00EA3B99" w:rsidRPr="0044196C">
        <w:rPr>
          <w:color w:val="000000" w:themeColor="text1"/>
          <w:lang w:val="en-US"/>
        </w:rPr>
        <w:instrText>angiotensin</w:instrText>
      </w:r>
      <w:r w:rsidR="00EA3B99" w:rsidRPr="0044196C">
        <w:rPr>
          <w:color w:val="000000" w:themeColor="text1"/>
        </w:rPr>
        <w:instrText xml:space="preserve"> </w:instrText>
      </w:r>
      <w:r w:rsidR="00EA3B99" w:rsidRPr="0044196C">
        <w:rPr>
          <w:color w:val="000000" w:themeColor="text1"/>
          <w:lang w:val="en-US"/>
        </w:rPr>
        <w:instrText>II</w:instrText>
      </w:r>
      <w:r w:rsidR="00EA3B99" w:rsidRPr="0044196C">
        <w:rPr>
          <w:color w:val="000000" w:themeColor="text1"/>
        </w:rPr>
        <w:instrText xml:space="preserve"> </w:instrText>
      </w:r>
      <w:r w:rsidR="00EA3B99" w:rsidRPr="0044196C">
        <w:rPr>
          <w:color w:val="000000" w:themeColor="text1"/>
          <w:lang w:val="en-US"/>
        </w:rPr>
        <w:instrText>receptor</w:instrText>
      </w:r>
      <w:r w:rsidR="00EA3B99" w:rsidRPr="0044196C">
        <w:rPr>
          <w:color w:val="000000" w:themeColor="text1"/>
        </w:rPr>
        <w:instrText xml:space="preserve"> </w:instrText>
      </w:r>
      <w:r w:rsidR="00EA3B99" w:rsidRPr="0044196C">
        <w:rPr>
          <w:color w:val="000000" w:themeColor="text1"/>
          <w:lang w:val="en-US"/>
        </w:rPr>
        <w:instrText>blockade</w:instrText>
      </w:r>
      <w:r w:rsidR="00EA3B99" w:rsidRPr="0044196C">
        <w:rPr>
          <w:color w:val="000000" w:themeColor="text1"/>
        </w:rPr>
        <w:instrText xml:space="preserve"> </w:instrText>
      </w:r>
      <w:r w:rsidR="00EA3B99" w:rsidRPr="0044196C">
        <w:rPr>
          <w:color w:val="000000" w:themeColor="text1"/>
          <w:lang w:val="en-US"/>
        </w:rPr>
        <w:instrText>alone</w:instrText>
      </w:r>
      <w:r w:rsidR="00EA3B99" w:rsidRPr="0044196C">
        <w:rPr>
          <w:color w:val="000000" w:themeColor="text1"/>
        </w:rPr>
        <w:instrText>", "</w:instrText>
      </w:r>
      <w:r w:rsidR="00EA3B99" w:rsidRPr="0044196C">
        <w:rPr>
          <w:color w:val="000000" w:themeColor="text1"/>
          <w:lang w:val="en-US"/>
        </w:rPr>
        <w:instrText>type</w:instrText>
      </w:r>
      <w:r w:rsidR="00EA3B99" w:rsidRPr="0044196C">
        <w:rPr>
          <w:color w:val="000000" w:themeColor="text1"/>
        </w:rPr>
        <w:instrText>" : "</w:instrText>
      </w:r>
      <w:r w:rsidR="00EA3B99" w:rsidRPr="0044196C">
        <w:rPr>
          <w:color w:val="000000" w:themeColor="text1"/>
          <w:lang w:val="en-US"/>
        </w:rPr>
        <w:instrText>article</w:instrText>
      </w:r>
      <w:r w:rsidR="00EA3B99" w:rsidRPr="0044196C">
        <w:rPr>
          <w:color w:val="000000" w:themeColor="text1"/>
        </w:rPr>
        <w:instrText>-</w:instrText>
      </w:r>
      <w:r w:rsidR="00EA3B99" w:rsidRPr="0044196C">
        <w:rPr>
          <w:color w:val="000000" w:themeColor="text1"/>
          <w:lang w:val="en-US"/>
        </w:rPr>
        <w:instrText>journal</w:instrText>
      </w:r>
      <w:r w:rsidR="00EA3B99" w:rsidRPr="0044196C">
        <w:rPr>
          <w:color w:val="000000" w:themeColor="text1"/>
        </w:rPr>
        <w:instrText>", "</w:instrText>
      </w:r>
      <w:r w:rsidR="00EA3B99" w:rsidRPr="0044196C">
        <w:rPr>
          <w:color w:val="000000" w:themeColor="text1"/>
          <w:lang w:val="en-US"/>
        </w:rPr>
        <w:instrText>volume</w:instrText>
      </w:r>
      <w:r w:rsidR="00EA3B99" w:rsidRPr="0044196C">
        <w:rPr>
          <w:color w:val="000000" w:themeColor="text1"/>
        </w:rPr>
        <w:instrText>" : "83" }, "</w:instrText>
      </w:r>
      <w:r w:rsidR="00EA3B99" w:rsidRPr="0044196C">
        <w:rPr>
          <w:color w:val="000000" w:themeColor="text1"/>
          <w:lang w:val="en-US"/>
        </w:rPr>
        <w:instrText>uris</w:instrText>
      </w:r>
      <w:r w:rsidR="00EA3B99" w:rsidRPr="0044196C">
        <w:rPr>
          <w:color w:val="000000" w:themeColor="text1"/>
        </w:rPr>
        <w:instrText>" : [ "</w:instrText>
      </w:r>
      <w:r w:rsidR="00EA3B99" w:rsidRPr="0044196C">
        <w:rPr>
          <w:color w:val="000000" w:themeColor="text1"/>
          <w:lang w:val="en-US"/>
        </w:rPr>
        <w:instrText>http</w:instrText>
      </w:r>
      <w:r w:rsidR="00EA3B99" w:rsidRPr="0044196C">
        <w:rPr>
          <w:color w:val="000000" w:themeColor="text1"/>
        </w:rPr>
        <w:instrText>://</w:instrText>
      </w:r>
      <w:r w:rsidR="00EA3B99" w:rsidRPr="0044196C">
        <w:rPr>
          <w:color w:val="000000" w:themeColor="text1"/>
          <w:lang w:val="en-US"/>
        </w:rPr>
        <w:instrText>www</w:instrText>
      </w:r>
      <w:r w:rsidR="00EA3B99" w:rsidRPr="0044196C">
        <w:rPr>
          <w:color w:val="000000" w:themeColor="text1"/>
        </w:rPr>
        <w:instrText>.</w:instrText>
      </w:r>
      <w:r w:rsidR="00EA3B99" w:rsidRPr="0044196C">
        <w:rPr>
          <w:color w:val="000000" w:themeColor="text1"/>
          <w:lang w:val="en-US"/>
        </w:rPr>
        <w:instrText>mendeley</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documents</w:instrText>
      </w:r>
      <w:r w:rsidR="00EA3B99" w:rsidRPr="0044196C">
        <w:rPr>
          <w:color w:val="000000" w:themeColor="text1"/>
        </w:rPr>
        <w:instrText>/?</w:instrText>
      </w:r>
      <w:r w:rsidR="00EA3B99" w:rsidRPr="0044196C">
        <w:rPr>
          <w:color w:val="000000" w:themeColor="text1"/>
          <w:lang w:val="en-US"/>
        </w:rPr>
        <w:instrText>uuid</w:instrText>
      </w:r>
      <w:r w:rsidR="00EA3B99" w:rsidRPr="0044196C">
        <w:rPr>
          <w:color w:val="000000" w:themeColor="text1"/>
        </w:rPr>
        <w:instrText>=</w:instrText>
      </w:r>
      <w:r w:rsidR="00EA3B99" w:rsidRPr="0044196C">
        <w:rPr>
          <w:color w:val="000000" w:themeColor="text1"/>
          <w:lang w:val="en-US"/>
        </w:rPr>
        <w:instrText>a</w:instrText>
      </w:r>
      <w:r w:rsidR="00EA3B99" w:rsidRPr="0044196C">
        <w:rPr>
          <w:color w:val="000000" w:themeColor="text1"/>
        </w:rPr>
        <w:instrText>8818893-2949-44</w:instrText>
      </w:r>
      <w:r w:rsidR="00EA3B99" w:rsidRPr="0044196C">
        <w:rPr>
          <w:color w:val="000000" w:themeColor="text1"/>
          <w:lang w:val="en-US"/>
        </w:rPr>
        <w:instrText>da</w:instrText>
      </w:r>
      <w:r w:rsidR="00EA3B99" w:rsidRPr="0044196C">
        <w:rPr>
          <w:color w:val="000000" w:themeColor="text1"/>
        </w:rPr>
        <w:instrText>-8</w:instrText>
      </w:r>
      <w:r w:rsidR="00EA3B99" w:rsidRPr="0044196C">
        <w:rPr>
          <w:color w:val="000000" w:themeColor="text1"/>
          <w:lang w:val="en-US"/>
        </w:rPr>
        <w:instrText>f</w:instrText>
      </w:r>
      <w:r w:rsidR="00EA3B99" w:rsidRPr="0044196C">
        <w:rPr>
          <w:color w:val="000000" w:themeColor="text1"/>
        </w:rPr>
        <w:instrText>97-641</w:instrText>
      </w:r>
      <w:r w:rsidR="00EA3B99" w:rsidRPr="0044196C">
        <w:rPr>
          <w:color w:val="000000" w:themeColor="text1"/>
          <w:lang w:val="en-US"/>
        </w:rPr>
        <w:instrText>fd</w:instrText>
      </w:r>
      <w:r w:rsidR="00EA3B99" w:rsidRPr="0044196C">
        <w:rPr>
          <w:color w:val="000000" w:themeColor="text1"/>
        </w:rPr>
        <w:instrText>13</w:instrText>
      </w:r>
      <w:r w:rsidR="00EA3B99" w:rsidRPr="0044196C">
        <w:rPr>
          <w:color w:val="000000" w:themeColor="text1"/>
          <w:lang w:val="en-US"/>
        </w:rPr>
        <w:instrText>eb</w:instrText>
      </w:r>
      <w:r w:rsidR="00EA3B99" w:rsidRPr="0044196C">
        <w:rPr>
          <w:color w:val="000000" w:themeColor="text1"/>
        </w:rPr>
        <w:instrText>46</w:instrText>
      </w:r>
      <w:r w:rsidR="00EA3B99" w:rsidRPr="0044196C">
        <w:rPr>
          <w:color w:val="000000" w:themeColor="text1"/>
          <w:lang w:val="en-US"/>
        </w:rPr>
        <w:instrText>d</w:instrText>
      </w:r>
      <w:r w:rsidR="00EA3B99" w:rsidRPr="0044196C">
        <w:rPr>
          <w:color w:val="000000" w:themeColor="text1"/>
        </w:rPr>
        <w:instrText>" ] } ], "</w:instrText>
      </w:r>
      <w:r w:rsidR="00EA3B99" w:rsidRPr="0044196C">
        <w:rPr>
          <w:color w:val="000000" w:themeColor="text1"/>
          <w:lang w:val="en-US"/>
        </w:rPr>
        <w:instrText>mendeley</w:instrText>
      </w:r>
      <w:r w:rsidR="00EA3B99" w:rsidRPr="0044196C">
        <w:rPr>
          <w:color w:val="000000" w:themeColor="text1"/>
        </w:rPr>
        <w:instrText>" : { "</w:instrText>
      </w:r>
      <w:r w:rsidR="00EA3B99" w:rsidRPr="0044196C">
        <w:rPr>
          <w:color w:val="000000" w:themeColor="text1"/>
          <w:lang w:val="en-US"/>
        </w:rPr>
        <w:instrText>previouslyFormattedCitation</w:instrText>
      </w:r>
      <w:r w:rsidR="00EA3B99" w:rsidRPr="0044196C">
        <w:rPr>
          <w:color w:val="000000" w:themeColor="text1"/>
        </w:rPr>
        <w:instrText>" : "[</w:instrText>
      </w:r>
      <w:r w:rsidR="00EA3B99" w:rsidRPr="0044196C">
        <w:rPr>
          <w:color w:val="000000" w:themeColor="text1"/>
          <w:lang w:val="en-US"/>
        </w:rPr>
        <w:instrText>Kim</w:instrText>
      </w:r>
      <w:r w:rsidR="00EA3B99" w:rsidRPr="0044196C">
        <w:rPr>
          <w:color w:val="000000" w:themeColor="text1"/>
        </w:rPr>
        <w:instrText>-</w:instrText>
      </w:r>
      <w:r w:rsidR="00EA3B99" w:rsidRPr="0044196C">
        <w:rPr>
          <w:color w:val="000000" w:themeColor="text1"/>
          <w:lang w:val="en-US"/>
        </w:rPr>
        <w:instrText>Mitsuyama</w:instrText>
      </w:r>
      <w:r w:rsidR="00EA3B99" w:rsidRPr="0044196C">
        <w:rPr>
          <w:color w:val="000000" w:themeColor="text1"/>
        </w:rPr>
        <w:instrText xml:space="preserve"> </w:instrText>
      </w:r>
      <w:r w:rsidR="00EA3B99" w:rsidRPr="0044196C">
        <w:rPr>
          <w:color w:val="000000" w:themeColor="text1"/>
          <w:lang w:val="en-US"/>
        </w:rPr>
        <w:instrText>S</w:instrText>
      </w:r>
      <w:r w:rsidR="00EA3B99" w:rsidRPr="0044196C">
        <w:rPr>
          <w:color w:val="000000" w:themeColor="text1"/>
        </w:rPr>
        <w:instrText xml:space="preserve">, </w:instrText>
      </w:r>
      <w:r w:rsidR="00EA3B99" w:rsidRPr="0044196C">
        <w:rPr>
          <w:color w:val="000000" w:themeColor="text1"/>
          <w:lang w:val="en-US"/>
        </w:rPr>
        <w:instrText>Ogawa</w:instrText>
      </w:r>
      <w:r w:rsidR="00EA3B99" w:rsidRPr="0044196C">
        <w:rPr>
          <w:color w:val="000000" w:themeColor="text1"/>
        </w:rPr>
        <w:instrText xml:space="preserve"> </w:instrText>
      </w:r>
      <w:r w:rsidR="00EA3B99" w:rsidRPr="0044196C">
        <w:rPr>
          <w:color w:val="000000" w:themeColor="text1"/>
          <w:lang w:val="en-US"/>
        </w:rPr>
        <w:instrText>H</w:instrText>
      </w:r>
      <w:r w:rsidR="00EA3B99" w:rsidRPr="0044196C">
        <w:rPr>
          <w:color w:val="000000" w:themeColor="text1"/>
        </w:rPr>
        <w:instrText>, 2013]" }, "</w:instrText>
      </w:r>
      <w:r w:rsidR="00EA3B99" w:rsidRPr="0044196C">
        <w:rPr>
          <w:color w:val="000000" w:themeColor="text1"/>
          <w:lang w:val="en-US"/>
        </w:rPr>
        <w:instrText>properties</w:instrText>
      </w:r>
      <w:r w:rsidR="00EA3B99" w:rsidRPr="0044196C">
        <w:rPr>
          <w:color w:val="000000" w:themeColor="text1"/>
        </w:rPr>
        <w:instrText>" : { "</w:instrText>
      </w:r>
      <w:r w:rsidR="00EA3B99" w:rsidRPr="0044196C">
        <w:rPr>
          <w:color w:val="000000" w:themeColor="text1"/>
          <w:lang w:val="en-US"/>
        </w:rPr>
        <w:instrText>noteIndex</w:instrText>
      </w:r>
      <w:r w:rsidR="00EA3B99" w:rsidRPr="0044196C">
        <w:rPr>
          <w:color w:val="000000" w:themeColor="text1"/>
        </w:rPr>
        <w:instrText>" : 0 }, "</w:instrText>
      </w:r>
      <w:r w:rsidR="00EA3B99" w:rsidRPr="0044196C">
        <w:rPr>
          <w:color w:val="000000" w:themeColor="text1"/>
          <w:lang w:val="en-US"/>
        </w:rPr>
        <w:instrText>schema</w:instrText>
      </w:r>
      <w:r w:rsidR="00EA3B99" w:rsidRPr="0044196C">
        <w:rPr>
          <w:color w:val="000000" w:themeColor="text1"/>
        </w:rPr>
        <w:instrText>" : "</w:instrText>
      </w:r>
      <w:r w:rsidR="00EA3B99" w:rsidRPr="0044196C">
        <w:rPr>
          <w:color w:val="000000" w:themeColor="text1"/>
          <w:lang w:val="en-US"/>
        </w:rPr>
        <w:instrText>https</w:instrText>
      </w:r>
      <w:r w:rsidR="00EA3B99" w:rsidRPr="0044196C">
        <w:rPr>
          <w:color w:val="000000" w:themeColor="text1"/>
        </w:rPr>
        <w:instrText>://</w:instrText>
      </w:r>
      <w:r w:rsidR="00EA3B99" w:rsidRPr="0044196C">
        <w:rPr>
          <w:color w:val="000000" w:themeColor="text1"/>
          <w:lang w:val="en-US"/>
        </w:rPr>
        <w:instrText>github</w:instrText>
      </w:r>
      <w:r w:rsidR="00EA3B99" w:rsidRPr="0044196C">
        <w:rPr>
          <w:color w:val="000000" w:themeColor="text1"/>
        </w:rPr>
        <w:instrText>.</w:instrText>
      </w:r>
      <w:r w:rsidR="00EA3B99" w:rsidRPr="0044196C">
        <w:rPr>
          <w:color w:val="000000" w:themeColor="text1"/>
          <w:lang w:val="en-US"/>
        </w:rPr>
        <w:instrText>com</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style</w:instrText>
      </w:r>
      <w:r w:rsidR="00EA3B99" w:rsidRPr="0044196C">
        <w:rPr>
          <w:color w:val="000000" w:themeColor="text1"/>
        </w:rPr>
        <w:instrText>-</w:instrText>
      </w:r>
      <w:r w:rsidR="00EA3B99" w:rsidRPr="0044196C">
        <w:rPr>
          <w:color w:val="000000" w:themeColor="text1"/>
          <w:lang w:val="en-US"/>
        </w:rPr>
        <w:instrText>language</w:instrText>
      </w:r>
      <w:r w:rsidR="00EA3B99" w:rsidRPr="0044196C">
        <w:rPr>
          <w:color w:val="000000" w:themeColor="text1"/>
        </w:rPr>
        <w:instrText>/</w:instrText>
      </w:r>
      <w:r w:rsidR="00EA3B99" w:rsidRPr="0044196C">
        <w:rPr>
          <w:color w:val="000000" w:themeColor="text1"/>
          <w:lang w:val="en-US"/>
        </w:rPr>
        <w:instrText>schema</w:instrText>
      </w:r>
      <w:r w:rsidR="00EA3B99" w:rsidRPr="0044196C">
        <w:rPr>
          <w:color w:val="000000" w:themeColor="text1"/>
        </w:rPr>
        <w:instrText>/</w:instrText>
      </w:r>
      <w:r w:rsidR="00EA3B99" w:rsidRPr="0044196C">
        <w:rPr>
          <w:color w:val="000000" w:themeColor="text1"/>
          <w:lang w:val="en-US"/>
        </w:rPr>
        <w:instrText>raw</w:instrText>
      </w:r>
      <w:r w:rsidR="00EA3B99" w:rsidRPr="0044196C">
        <w:rPr>
          <w:color w:val="000000" w:themeColor="text1"/>
        </w:rPr>
        <w:instrText>/</w:instrText>
      </w:r>
      <w:r w:rsidR="00EA3B99" w:rsidRPr="0044196C">
        <w:rPr>
          <w:color w:val="000000" w:themeColor="text1"/>
          <w:lang w:val="en-US"/>
        </w:rPr>
        <w:instrText>master</w:instrText>
      </w:r>
      <w:r w:rsidR="00EA3B99" w:rsidRPr="0044196C">
        <w:rPr>
          <w:color w:val="000000" w:themeColor="text1"/>
        </w:rPr>
        <w:instrText>/</w:instrText>
      </w:r>
      <w:r w:rsidR="00EA3B99" w:rsidRPr="0044196C">
        <w:rPr>
          <w:color w:val="000000" w:themeColor="text1"/>
          <w:lang w:val="en-US"/>
        </w:rPr>
        <w:instrText>csl</w:instrText>
      </w:r>
      <w:r w:rsidR="00EA3B99" w:rsidRPr="0044196C">
        <w:rPr>
          <w:color w:val="000000" w:themeColor="text1"/>
        </w:rPr>
        <w:instrText>-</w:instrText>
      </w:r>
      <w:r w:rsidR="00EA3B99" w:rsidRPr="0044196C">
        <w:rPr>
          <w:color w:val="000000" w:themeColor="text1"/>
          <w:lang w:val="en-US"/>
        </w:rPr>
        <w:instrText>citation</w:instrText>
      </w:r>
      <w:r w:rsidR="00EA3B99" w:rsidRPr="0044196C">
        <w:rPr>
          <w:color w:val="000000" w:themeColor="text1"/>
        </w:rPr>
        <w:instrText>.</w:instrText>
      </w:r>
      <w:r w:rsidR="00EA3B99" w:rsidRPr="0044196C">
        <w:rPr>
          <w:color w:val="000000" w:themeColor="text1"/>
          <w:lang w:val="en-US"/>
        </w:rPr>
        <w:instrText>json</w:instrText>
      </w:r>
      <w:r w:rsidR="00EA3B99" w:rsidRPr="0044196C">
        <w:rPr>
          <w:color w:val="000000" w:themeColor="text1"/>
        </w:rPr>
        <w:instrText>" }</w:instrText>
      </w:r>
      <w:r w:rsidR="009D7C63" w:rsidRPr="0044196C">
        <w:rPr>
          <w:color w:val="000000" w:themeColor="text1"/>
        </w:rPr>
        <w:fldChar w:fldCharType="separate"/>
      </w:r>
      <w:r w:rsidR="00EA3B99" w:rsidRPr="0044196C">
        <w:rPr>
          <w:noProof/>
          <w:color w:val="000000" w:themeColor="text1"/>
        </w:rPr>
        <w:t>[Kim-Mitsuyama S, Ogawa H, 2013]</w:t>
      </w:r>
      <w:r w:rsidR="009D7C63" w:rsidRPr="0044196C">
        <w:rPr>
          <w:color w:val="000000" w:themeColor="text1"/>
        </w:rPr>
        <w:fldChar w:fldCharType="end"/>
      </w:r>
      <w:r w:rsidRPr="0044196C">
        <w:rPr>
          <w:color w:val="000000" w:themeColor="text1"/>
        </w:rPr>
        <w:t xml:space="preserve">. </w:t>
      </w:r>
      <w:r w:rsidR="00727B47" w:rsidRPr="0044196C">
        <w:rPr>
          <w:color w:val="000000" w:themeColor="text1"/>
        </w:rPr>
        <w:t xml:space="preserve">В исследовании </w:t>
      </w:r>
      <w:r w:rsidR="00727B47" w:rsidRPr="0044196C">
        <w:rPr>
          <w:color w:val="000000" w:themeColor="text1"/>
          <w:lang w:val="en-US"/>
        </w:rPr>
        <w:t>Zafra</w:t>
      </w:r>
      <w:r w:rsidR="00D77736" w:rsidRPr="0044196C">
        <w:rPr>
          <w:color w:val="000000" w:themeColor="text1"/>
        </w:rPr>
        <w:t xml:space="preserve"> </w:t>
      </w:r>
      <w:r w:rsidR="005E37A6" w:rsidRPr="0044196C">
        <w:rPr>
          <w:color w:val="000000" w:themeColor="text1"/>
        </w:rPr>
        <w:t>было показано, что назначение АК</w:t>
      </w:r>
      <w:r w:rsidR="00D77736" w:rsidRPr="0044196C">
        <w:rPr>
          <w:color w:val="000000" w:themeColor="text1"/>
        </w:rPr>
        <w:t xml:space="preserve"> </w:t>
      </w:r>
      <w:r w:rsidR="005E37A6" w:rsidRPr="0044196C">
        <w:rPr>
          <w:color w:val="000000" w:themeColor="text1"/>
        </w:rPr>
        <w:t xml:space="preserve">длерканидипина в дополнение к терапии, подавляющей РАС, приводит к дополнительному снижению протеинурии и тенденции к повышению СКФ. Комбинация АКд с препаратом, подавляющим РАС, как говорилось выше (рекомендация </w:t>
      </w:r>
      <w:fldSimple w:instr=" REF _Ref280263006 \n \h  \* MERGEFORMAT ">
        <w:r w:rsidR="005E37A6" w:rsidRPr="0044196C">
          <w:rPr>
            <w:color w:val="000000" w:themeColor="text1"/>
          </w:rPr>
          <w:t>8.1</w:t>
        </w:r>
      </w:fldSimple>
      <w:r w:rsidR="005E37A6" w:rsidRPr="0044196C">
        <w:rPr>
          <w:color w:val="000000" w:themeColor="text1"/>
        </w:rPr>
        <w:t>)</w:t>
      </w:r>
      <w:r w:rsidR="00072150" w:rsidRPr="0044196C">
        <w:rPr>
          <w:color w:val="000000" w:themeColor="text1"/>
        </w:rPr>
        <w:t>,</w:t>
      </w:r>
      <w:r w:rsidR="005E37A6" w:rsidRPr="0044196C">
        <w:rPr>
          <w:color w:val="000000" w:themeColor="text1"/>
        </w:rPr>
        <w:t xml:space="preserve"> нивелирует его неблагоприятное действие на почечную гемодинамику. Польза такого сочетания обусловлена более </w:t>
      </w:r>
      <w:r w:rsidR="00072150" w:rsidRPr="0044196C">
        <w:rPr>
          <w:color w:val="000000" w:themeColor="text1"/>
        </w:rPr>
        <w:t>частым</w:t>
      </w:r>
      <w:r w:rsidR="005E37A6" w:rsidRPr="0044196C">
        <w:rPr>
          <w:color w:val="000000" w:themeColor="text1"/>
        </w:rPr>
        <w:t xml:space="preserve"> достижением целевого АД</w:t>
      </w:r>
      <w:r w:rsidR="00072150" w:rsidRPr="0044196C">
        <w:rPr>
          <w:color w:val="000000" w:themeColor="text1"/>
        </w:rPr>
        <w:t xml:space="preserve"> в группе комбинированной терапии</w:t>
      </w:r>
      <w:r w:rsidR="005E37A6" w:rsidRPr="0044196C">
        <w:rPr>
          <w:color w:val="000000" w:themeColor="text1"/>
        </w:rPr>
        <w:t xml:space="preserve">. </w:t>
      </w:r>
    </w:p>
    <w:p w:rsidR="00B52118" w:rsidRPr="0044196C" w:rsidRDefault="00727B47" w:rsidP="00CE763B">
      <w:pPr>
        <w:rPr>
          <w:color w:val="000000" w:themeColor="text1"/>
        </w:rPr>
      </w:pPr>
      <w:r w:rsidRPr="0044196C">
        <w:rPr>
          <w:color w:val="000000" w:themeColor="text1"/>
        </w:rPr>
        <w:t>Сочетание</w:t>
      </w:r>
      <w:r w:rsidR="00F81FC2" w:rsidRPr="0044196C">
        <w:rPr>
          <w:color w:val="000000" w:themeColor="text1"/>
        </w:rPr>
        <w:t>иАПФ и</w:t>
      </w:r>
      <w:r w:rsidRPr="0044196C">
        <w:rPr>
          <w:color w:val="000000" w:themeColor="text1"/>
        </w:rPr>
        <w:t>ли</w:t>
      </w:r>
      <w:r w:rsidR="00F81FC2" w:rsidRPr="0044196C">
        <w:rPr>
          <w:color w:val="000000" w:themeColor="text1"/>
        </w:rPr>
        <w:t xml:space="preserve"> БРА с бета-блокаторами</w:t>
      </w:r>
      <w:r w:rsidRPr="0044196C">
        <w:rPr>
          <w:color w:val="000000" w:themeColor="text1"/>
        </w:rPr>
        <w:t>, агонистами имидазолиновых рецепторов</w:t>
      </w:r>
      <w:r w:rsidR="00F81FC2" w:rsidRPr="0044196C">
        <w:rPr>
          <w:color w:val="000000" w:themeColor="text1"/>
        </w:rPr>
        <w:t xml:space="preserve"> также </w:t>
      </w:r>
      <w:r w:rsidRPr="0044196C">
        <w:rPr>
          <w:color w:val="000000" w:themeColor="text1"/>
        </w:rPr>
        <w:t>считается</w:t>
      </w:r>
      <w:r w:rsidR="00F81FC2" w:rsidRPr="0044196C">
        <w:rPr>
          <w:color w:val="000000" w:themeColor="text1"/>
        </w:rPr>
        <w:t xml:space="preserve"> приемлемым.</w:t>
      </w:r>
    </w:p>
    <w:p w:rsidR="00CE763B" w:rsidRPr="0044196C" w:rsidRDefault="005E37A6" w:rsidP="00D122F4">
      <w:pPr>
        <w:tabs>
          <w:tab w:val="left" w:pos="3573"/>
        </w:tabs>
        <w:rPr>
          <w:color w:val="000000" w:themeColor="text1"/>
        </w:rPr>
      </w:pPr>
      <w:r w:rsidRPr="0044196C">
        <w:rPr>
          <w:color w:val="000000" w:themeColor="text1"/>
        </w:rPr>
        <w:t xml:space="preserve">Альфа-адреноблокаторы, оказывающие мощный антигипертензивный эффект, но не обладающие органопротективными свойствами, </w:t>
      </w:r>
      <w:r w:rsidR="00D22E17" w:rsidRPr="0044196C">
        <w:rPr>
          <w:color w:val="000000" w:themeColor="text1"/>
        </w:rPr>
        <w:t xml:space="preserve">а также </w:t>
      </w:r>
      <w:r w:rsidRPr="0044196C">
        <w:rPr>
          <w:color w:val="000000" w:themeColor="text1"/>
        </w:rPr>
        <w:t>альфа,бета-адреноблокаторы использу</w:t>
      </w:r>
      <w:r w:rsidR="00D22E17" w:rsidRPr="0044196C">
        <w:rPr>
          <w:color w:val="000000" w:themeColor="text1"/>
        </w:rPr>
        <w:t>ю</w:t>
      </w:r>
      <w:r w:rsidRPr="0044196C">
        <w:rPr>
          <w:color w:val="000000" w:themeColor="text1"/>
        </w:rPr>
        <w:t xml:space="preserve">тся как препараты резерва в случае тяжелой, резистентной к стандартной терапии АГ. При их использовании </w:t>
      </w:r>
      <w:r w:rsidR="00D22E17" w:rsidRPr="0044196C">
        <w:rPr>
          <w:color w:val="000000" w:themeColor="text1"/>
        </w:rPr>
        <w:t xml:space="preserve">необходимо исключать ночную гипотонию и ортостатическую гипотонию (см. рекомендации </w:t>
      </w:r>
      <w:fldSimple w:instr=" REF _Ref280263540 \n \h  \* MERGEFORMAT ">
        <w:r w:rsidR="00D22E17" w:rsidRPr="0044196C">
          <w:rPr>
            <w:color w:val="000000" w:themeColor="text1"/>
          </w:rPr>
          <w:t>5.1</w:t>
        </w:r>
      </w:fldSimple>
      <w:r w:rsidR="00D22E17" w:rsidRPr="0044196C">
        <w:rPr>
          <w:color w:val="000000" w:themeColor="text1"/>
        </w:rPr>
        <w:t xml:space="preserve">, </w:t>
      </w:r>
      <w:fldSimple w:instr=" REF _Ref279576134 \n \h  \* MERGEFORMAT ">
        <w:r w:rsidR="00D22E17" w:rsidRPr="0044196C">
          <w:rPr>
            <w:color w:val="000000" w:themeColor="text1"/>
          </w:rPr>
          <w:t>5.3</w:t>
        </w:r>
      </w:fldSimple>
      <w:r w:rsidR="00D22E17" w:rsidRPr="0044196C">
        <w:rPr>
          <w:color w:val="000000" w:themeColor="text1"/>
        </w:rPr>
        <w:t>).</w:t>
      </w:r>
    </w:p>
    <w:p w:rsidR="00A04432" w:rsidRPr="0044196C" w:rsidRDefault="00A04432" w:rsidP="00D122F4">
      <w:pPr>
        <w:tabs>
          <w:tab w:val="left" w:pos="3573"/>
        </w:tabs>
        <w:rPr>
          <w:rFonts w:cs="Times New Roman"/>
          <w:color w:val="000000" w:themeColor="text1"/>
        </w:rPr>
      </w:pPr>
      <w:r w:rsidRPr="0044196C">
        <w:rPr>
          <w:rFonts w:cs="Times New Roman"/>
          <w:color w:val="000000" w:themeColor="text1"/>
        </w:rPr>
        <w:t>Как и при эссенциальной АГ следует избегать сочетания АКнд и бета-адреноблокатора, учитывая их однонаправленное влияние на проводимость миокарда и ЧСС из-за опасности развития нарушений ритма.</w:t>
      </w:r>
    </w:p>
    <w:p w:rsidR="009F7F6D" w:rsidRPr="0044196C" w:rsidRDefault="009F7F6D" w:rsidP="009F7F6D">
      <w:pPr>
        <w:pStyle w:val="a0"/>
        <w:rPr>
          <w:color w:val="000000" w:themeColor="text1"/>
        </w:rPr>
      </w:pPr>
      <w:bookmarkStart w:id="75" w:name="_Toc279732223"/>
      <w:bookmarkStart w:id="76" w:name="_Ref280262056"/>
      <w:r w:rsidRPr="0044196C">
        <w:rPr>
          <w:color w:val="000000" w:themeColor="text1"/>
        </w:rPr>
        <w:t>У больных с нарушением функции почек меняется фармакокинетика и эффективность многих препаратов, снижающих АД, повышается риск их побочных действий, что необходимо учитывать при выборе лекарств и их доз (НГ).</w:t>
      </w:r>
      <w:bookmarkEnd w:id="75"/>
      <w:bookmarkEnd w:id="76"/>
    </w:p>
    <w:p w:rsidR="009F7F6D" w:rsidRPr="0044196C" w:rsidRDefault="009F7F6D" w:rsidP="009F7F6D">
      <w:pPr>
        <w:rPr>
          <w:color w:val="000000" w:themeColor="text1"/>
        </w:rPr>
      </w:pPr>
      <w:r w:rsidRPr="0044196C">
        <w:rPr>
          <w:color w:val="000000" w:themeColor="text1"/>
        </w:rPr>
        <w:t xml:space="preserve">При СКФ </w:t>
      </w:r>
      <w:r w:rsidRPr="0044196C">
        <w:rPr>
          <w:color w:val="000000" w:themeColor="text1"/>
        </w:rPr>
        <w:sym w:font="Symbol" w:char="F03C"/>
      </w:r>
      <w:r w:rsidRPr="0044196C">
        <w:rPr>
          <w:color w:val="000000" w:themeColor="text1"/>
        </w:rPr>
        <w:t>60 мл/мин/1,73 м</w:t>
      </w:r>
      <w:r w:rsidRPr="0044196C">
        <w:rPr>
          <w:color w:val="000000" w:themeColor="text1"/>
          <w:vertAlign w:val="superscript"/>
        </w:rPr>
        <w:t>2</w:t>
      </w:r>
      <w:r w:rsidRPr="0044196C">
        <w:rPr>
          <w:color w:val="000000" w:themeColor="text1"/>
        </w:rPr>
        <w:t xml:space="preserve"> нарушается фармакокинетика препаратов с преимущественно почечным путем выведения, возникает риск передозировки даже при использовании средних терапевтических доз, поэтому следует отдавать предпочтение средствам с преимущественно печеночным путем выведения (</w:t>
      </w:r>
      <w:fldSimple w:instr=" REF _Ref280201139 \h  \* MERGEFORMAT ">
        <w:r w:rsidRPr="0044196C">
          <w:rPr>
            <w:color w:val="000000" w:themeColor="text1"/>
          </w:rPr>
          <w:t xml:space="preserve">Таблица </w:t>
        </w:r>
        <w:r w:rsidRPr="0044196C">
          <w:rPr>
            <w:noProof/>
            <w:color w:val="000000" w:themeColor="text1"/>
          </w:rPr>
          <w:t>13</w:t>
        </w:r>
      </w:fldSimple>
      <w:r w:rsidRPr="0044196C">
        <w:rPr>
          <w:color w:val="000000" w:themeColor="text1"/>
        </w:rPr>
        <w:t xml:space="preserve">). </w:t>
      </w:r>
    </w:p>
    <w:p w:rsidR="009F7F6D" w:rsidRPr="0044196C" w:rsidRDefault="00950300" w:rsidP="009F7F6D">
      <w:pPr>
        <w:rPr>
          <w:color w:val="000000" w:themeColor="text1"/>
        </w:rPr>
      </w:pPr>
      <w:r w:rsidRPr="0044196C">
        <w:rPr>
          <w:color w:val="000000" w:themeColor="text1"/>
        </w:rPr>
        <w:t xml:space="preserve">Снижение функции почек приводит к уменьшению чувствительности к тиазидным и, в меньшей степени, петлевым диуретикам, что требует увеличения их доз. В то же время из-за сниженной экскреции мочевой кислоты при использовании тиазидных и, в </w:t>
      </w:r>
      <w:r w:rsidRPr="0044196C">
        <w:rPr>
          <w:color w:val="000000" w:themeColor="text1"/>
        </w:rPr>
        <w:lastRenderedPageBreak/>
        <w:t xml:space="preserve">меньшей степени, петлевых мочегонных повышается риск развития уратного криза, что лимитирует их использование. </w:t>
      </w:r>
    </w:p>
    <w:p w:rsidR="00950300" w:rsidRPr="0044196C" w:rsidRDefault="00950300" w:rsidP="009F7F6D">
      <w:pPr>
        <w:rPr>
          <w:color w:val="000000" w:themeColor="text1"/>
        </w:rPr>
      </w:pPr>
      <w:r w:rsidRPr="0044196C">
        <w:rPr>
          <w:color w:val="000000" w:themeColor="text1"/>
        </w:rPr>
        <w:t>Антагонисты альдостерона не рекомендуются к использованию при ХБП С4-5 из-за высокого риска гиперкалиемии.</w:t>
      </w:r>
    </w:p>
    <w:p w:rsidR="009F7F6D" w:rsidRPr="0044196C" w:rsidRDefault="009F7F6D" w:rsidP="009F7F6D">
      <w:pPr>
        <w:pStyle w:val="af4"/>
        <w:rPr>
          <w:color w:val="000000" w:themeColor="text1"/>
        </w:rPr>
      </w:pPr>
      <w:bookmarkStart w:id="77" w:name="_Ref280201139"/>
      <w:r w:rsidRPr="0044196C">
        <w:rPr>
          <w:color w:val="000000" w:themeColor="text1"/>
        </w:rPr>
        <w:t xml:space="preserve">Таблица </w:t>
      </w:r>
      <w:r w:rsidR="009D7C63" w:rsidRPr="0044196C">
        <w:rPr>
          <w:color w:val="000000" w:themeColor="text1"/>
        </w:rPr>
        <w:fldChar w:fldCharType="begin"/>
      </w:r>
      <w:r w:rsidR="009D7C63" w:rsidRPr="0044196C">
        <w:rPr>
          <w:color w:val="000000" w:themeColor="text1"/>
        </w:rPr>
        <w:instrText xml:space="preserve"> SEQ Таблица \* ARABIC </w:instrText>
      </w:r>
      <w:r w:rsidR="009D7C63" w:rsidRPr="0044196C">
        <w:rPr>
          <w:color w:val="000000" w:themeColor="text1"/>
        </w:rPr>
        <w:fldChar w:fldCharType="separate"/>
      </w:r>
      <w:r w:rsidRPr="0044196C">
        <w:rPr>
          <w:noProof/>
          <w:color w:val="000000" w:themeColor="text1"/>
        </w:rPr>
        <w:t>13</w:t>
      </w:r>
      <w:r w:rsidR="009D7C63" w:rsidRPr="0044196C">
        <w:rPr>
          <w:color w:val="000000" w:themeColor="text1"/>
        </w:rPr>
        <w:fldChar w:fldCharType="end"/>
      </w:r>
      <w:bookmarkEnd w:id="77"/>
    </w:p>
    <w:p w:rsidR="009F7F6D" w:rsidRPr="0044196C" w:rsidRDefault="009F7F6D" w:rsidP="009F7F6D">
      <w:pPr>
        <w:pStyle w:val="af4"/>
        <w:rPr>
          <w:color w:val="000000" w:themeColor="text1"/>
        </w:rPr>
      </w:pPr>
      <w:r w:rsidRPr="0044196C">
        <w:rPr>
          <w:color w:val="000000" w:themeColor="text1"/>
        </w:rPr>
        <w:t xml:space="preserve">Ограничения и риски антигипертензивной терапии </w:t>
      </w:r>
      <w:r w:rsidRPr="0044196C">
        <w:rPr>
          <w:color w:val="000000" w:themeColor="text1"/>
        </w:rPr>
        <w:br/>
        <w:t>при снижении функции почек</w:t>
      </w:r>
    </w:p>
    <w:tbl>
      <w:tblPr>
        <w:tblW w:w="0" w:type="auto"/>
        <w:tblLook w:val="04A0"/>
      </w:tblPr>
      <w:tblGrid>
        <w:gridCol w:w="989"/>
        <w:gridCol w:w="8582"/>
      </w:tblGrid>
      <w:tr w:rsidR="009F7F6D" w:rsidRPr="0044196C" w:rsidTr="009F7F6D">
        <w:tc>
          <w:tcPr>
            <w:tcW w:w="989" w:type="dxa"/>
            <w:shd w:val="clear" w:color="auto" w:fill="365F91" w:themeFill="accent1" w:themeFillShade="BF"/>
          </w:tcPr>
          <w:p w:rsidR="009F7F6D" w:rsidRPr="0044196C" w:rsidRDefault="009F7F6D" w:rsidP="009F7F6D">
            <w:pPr>
              <w:keepNext/>
              <w:keepLines/>
              <w:ind w:firstLine="0"/>
              <w:jc w:val="center"/>
              <w:rPr>
                <w:rFonts w:asciiTheme="minorHAnsi" w:hAnsiTheme="minorHAnsi"/>
                <w:color w:val="000000" w:themeColor="text1"/>
                <w:sz w:val="26"/>
                <w:szCs w:val="26"/>
              </w:rPr>
            </w:pPr>
            <w:r w:rsidRPr="0044196C">
              <w:rPr>
                <w:rFonts w:asciiTheme="minorHAnsi" w:hAnsiTheme="minorHAnsi"/>
                <w:color w:val="000000" w:themeColor="text1"/>
                <w:sz w:val="26"/>
                <w:szCs w:val="26"/>
              </w:rPr>
              <w:t>Стадия ХБП</w:t>
            </w:r>
          </w:p>
        </w:tc>
        <w:tc>
          <w:tcPr>
            <w:tcW w:w="8582" w:type="dxa"/>
            <w:shd w:val="clear" w:color="auto" w:fill="365F91" w:themeFill="accent1" w:themeFillShade="BF"/>
          </w:tcPr>
          <w:p w:rsidR="009F7F6D" w:rsidRPr="0044196C" w:rsidRDefault="009F7F6D" w:rsidP="009F7F6D">
            <w:pPr>
              <w:keepNext/>
              <w:keepLines/>
              <w:ind w:firstLine="0"/>
              <w:jc w:val="center"/>
              <w:rPr>
                <w:rFonts w:asciiTheme="minorHAnsi" w:hAnsiTheme="minorHAnsi"/>
                <w:color w:val="000000" w:themeColor="text1"/>
                <w:sz w:val="26"/>
                <w:szCs w:val="26"/>
              </w:rPr>
            </w:pPr>
            <w:r w:rsidRPr="0044196C">
              <w:rPr>
                <w:rFonts w:asciiTheme="minorHAnsi" w:hAnsiTheme="minorHAnsi"/>
                <w:color w:val="000000" w:themeColor="text1"/>
                <w:sz w:val="26"/>
                <w:szCs w:val="26"/>
              </w:rPr>
              <w:t>Особенности антигипертензивной терапии</w:t>
            </w:r>
          </w:p>
        </w:tc>
      </w:tr>
      <w:tr w:rsidR="009F7F6D" w:rsidRPr="0044196C" w:rsidTr="009F7F6D">
        <w:tc>
          <w:tcPr>
            <w:tcW w:w="989" w:type="dxa"/>
            <w:shd w:val="clear" w:color="auto" w:fill="DBE5F1" w:themeFill="accent1" w:themeFillTint="33"/>
          </w:tcPr>
          <w:p w:rsidR="009F7F6D" w:rsidRPr="0044196C" w:rsidRDefault="009F7F6D" w:rsidP="009F7F6D">
            <w:pPr>
              <w:keepNext/>
              <w:keepLines/>
              <w:ind w:firstLine="0"/>
              <w:jc w:val="center"/>
              <w:rPr>
                <w:rFonts w:ascii="Calibri" w:hAnsi="Calibri"/>
                <w:color w:val="000000" w:themeColor="text1"/>
                <w:sz w:val="28"/>
              </w:rPr>
            </w:pPr>
            <w:r w:rsidRPr="0044196C">
              <w:rPr>
                <w:rFonts w:ascii="Calibri" w:hAnsi="Calibri"/>
                <w:color w:val="000000" w:themeColor="text1"/>
                <w:sz w:val="28"/>
              </w:rPr>
              <w:t>С 3а</w:t>
            </w:r>
          </w:p>
        </w:tc>
        <w:tc>
          <w:tcPr>
            <w:tcW w:w="8582" w:type="dxa"/>
            <w:shd w:val="clear" w:color="auto" w:fill="DBE5F1" w:themeFill="accent1" w:themeFillTint="33"/>
          </w:tcPr>
          <w:p w:rsidR="009F7F6D" w:rsidRPr="0044196C" w:rsidRDefault="009F7F6D" w:rsidP="009F7F6D">
            <w:pPr>
              <w:keepNext/>
              <w:keepLines/>
              <w:ind w:firstLine="0"/>
              <w:rPr>
                <w:rFonts w:ascii="Calibri" w:hAnsi="Calibri"/>
                <w:color w:val="000000" w:themeColor="text1"/>
              </w:rPr>
            </w:pPr>
            <w:r w:rsidRPr="0044196C">
              <w:rPr>
                <w:rFonts w:ascii="Calibri" w:hAnsi="Calibri"/>
                <w:color w:val="000000" w:themeColor="text1"/>
              </w:rPr>
              <w:t>Требуется осторожность при назначении препаратов с преимущественно почечным путем выведения.</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ИАПФ и БРА: умеренно повышенный риск гиперкалиемии</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 xml:space="preserve">Тиазидные мочегонные: эффективность </w:t>
            </w:r>
            <w:r w:rsidR="00340B9B" w:rsidRPr="0044196C">
              <w:rPr>
                <w:rFonts w:ascii="Calibri" w:hAnsi="Calibri"/>
                <w:color w:val="000000" w:themeColor="text1"/>
              </w:rPr>
              <w:t xml:space="preserve">умеренно </w:t>
            </w:r>
            <w:r w:rsidRPr="0044196C">
              <w:rPr>
                <w:rFonts w:ascii="Calibri" w:hAnsi="Calibri"/>
                <w:color w:val="000000" w:themeColor="text1"/>
              </w:rPr>
              <w:t>снижена, риск гиперурикемии высокий</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Петлевые мочегонные: высокая эффективность; назначаются в небольших дозах, повышенный риск гиперурикемии</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Антагонисты альдостерона: повышенный риск гиперкалиемии</w:t>
            </w:r>
          </w:p>
        </w:tc>
      </w:tr>
      <w:tr w:rsidR="009F7F6D" w:rsidRPr="0044196C" w:rsidTr="009F7F6D">
        <w:tc>
          <w:tcPr>
            <w:tcW w:w="989" w:type="dxa"/>
            <w:shd w:val="clear" w:color="auto" w:fill="B8CCE4" w:themeFill="accent1" w:themeFillTint="66"/>
          </w:tcPr>
          <w:p w:rsidR="009F7F6D" w:rsidRPr="0044196C" w:rsidRDefault="009F7F6D" w:rsidP="009F7F6D">
            <w:pPr>
              <w:keepNext/>
              <w:keepLines/>
              <w:ind w:firstLine="0"/>
              <w:jc w:val="center"/>
              <w:rPr>
                <w:rFonts w:ascii="Calibri" w:hAnsi="Calibri"/>
                <w:color w:val="000000" w:themeColor="text1"/>
                <w:sz w:val="28"/>
              </w:rPr>
            </w:pPr>
            <w:r w:rsidRPr="0044196C">
              <w:rPr>
                <w:rFonts w:ascii="Calibri" w:hAnsi="Calibri"/>
                <w:color w:val="000000" w:themeColor="text1"/>
                <w:sz w:val="28"/>
              </w:rPr>
              <w:t>С 3б</w:t>
            </w:r>
          </w:p>
        </w:tc>
        <w:tc>
          <w:tcPr>
            <w:tcW w:w="8582" w:type="dxa"/>
            <w:shd w:val="clear" w:color="auto" w:fill="B8CCE4" w:themeFill="accent1" w:themeFillTint="66"/>
          </w:tcPr>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Нежелательно назначение препаратов с преимущественно почечным путем выведения.</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ИАПФ и БРА: высокий риск гиперкалиемии</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Тиазидные мочегонные: эффективность низкая, риск гиперурикемии очень высокий</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Петлевые мочегонные: эффективность умеренно снижена(может потребоваться увеличение дозы),  высокий риск гиперурикемии</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Антагонисты альдостерона: высокий риск гиперкалиемии</w:t>
            </w:r>
          </w:p>
        </w:tc>
      </w:tr>
      <w:tr w:rsidR="009F7F6D" w:rsidRPr="0044196C" w:rsidTr="009F7F6D">
        <w:tc>
          <w:tcPr>
            <w:tcW w:w="989" w:type="dxa"/>
            <w:shd w:val="clear" w:color="auto" w:fill="DBE5F1" w:themeFill="accent1" w:themeFillTint="33"/>
          </w:tcPr>
          <w:p w:rsidR="009F7F6D" w:rsidRPr="0044196C" w:rsidRDefault="009F7F6D" w:rsidP="009F7F6D">
            <w:pPr>
              <w:keepNext/>
              <w:keepLines/>
              <w:ind w:firstLine="0"/>
              <w:jc w:val="center"/>
              <w:rPr>
                <w:rFonts w:ascii="Calibri" w:hAnsi="Calibri"/>
                <w:color w:val="000000" w:themeColor="text1"/>
                <w:sz w:val="28"/>
              </w:rPr>
            </w:pPr>
            <w:r w:rsidRPr="0044196C">
              <w:rPr>
                <w:rFonts w:ascii="Calibri" w:hAnsi="Calibri"/>
                <w:color w:val="000000" w:themeColor="text1"/>
                <w:sz w:val="28"/>
              </w:rPr>
              <w:t>С 4-5</w:t>
            </w:r>
          </w:p>
        </w:tc>
        <w:tc>
          <w:tcPr>
            <w:tcW w:w="8582" w:type="dxa"/>
            <w:shd w:val="clear" w:color="auto" w:fill="DBE5F1" w:themeFill="accent1" w:themeFillTint="33"/>
          </w:tcPr>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Крайне нежелательно назначение препаратов с преимущественно почечным путем выведения.</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 xml:space="preserve">ИАПФ и БРА: очень высокий риск гиперкалиемии*, повышен риск острого снижения функции почек </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Тиазидные мочегонные: не применяются из-за неэффективности и опасности уратного криза</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Петлевые мочегонные: диуретики выбора; эффективность снижена,  очень высокий риск гиперурикемии</w:t>
            </w:r>
          </w:p>
          <w:p w:rsidR="009F7F6D" w:rsidRPr="0044196C" w:rsidRDefault="009F7F6D" w:rsidP="009F7F6D">
            <w:pPr>
              <w:keepNext/>
              <w:keepLines/>
              <w:spacing w:before="60"/>
              <w:ind w:firstLine="0"/>
              <w:rPr>
                <w:rFonts w:ascii="Calibri" w:hAnsi="Calibri"/>
                <w:color w:val="000000" w:themeColor="text1"/>
              </w:rPr>
            </w:pPr>
            <w:r w:rsidRPr="0044196C">
              <w:rPr>
                <w:rFonts w:ascii="Calibri" w:hAnsi="Calibri"/>
                <w:color w:val="000000" w:themeColor="text1"/>
              </w:rPr>
              <w:t>Антагонисты альдостерона: назначение не рекомендуется</w:t>
            </w:r>
          </w:p>
        </w:tc>
      </w:tr>
    </w:tbl>
    <w:p w:rsidR="009F7F6D" w:rsidRPr="0044196C" w:rsidRDefault="009F7F6D" w:rsidP="009F7F6D">
      <w:pPr>
        <w:keepNext/>
        <w:keepLines/>
        <w:rPr>
          <w:i/>
          <w:color w:val="000000" w:themeColor="text1"/>
          <w:sz w:val="22"/>
        </w:rPr>
      </w:pPr>
      <w:r w:rsidRPr="0044196C">
        <w:rPr>
          <w:i/>
          <w:color w:val="000000" w:themeColor="text1"/>
          <w:sz w:val="22"/>
        </w:rPr>
        <w:t>* –высокий риск гиперкалиемии не является противопоказанием к назначению данных препаратов, однако при этом необходим строгий контроль за соблюдениемнизкокалиевой диеты. Риск гиперкалиемии снижается при их сочетании с петлевыми диуретиками.</w:t>
      </w:r>
    </w:p>
    <w:p w:rsidR="00CE763B" w:rsidRPr="0044196C" w:rsidRDefault="00CE763B" w:rsidP="00D122F4">
      <w:pPr>
        <w:tabs>
          <w:tab w:val="left" w:pos="3573"/>
        </w:tabs>
        <w:rPr>
          <w:rFonts w:cs="Times New Roman"/>
          <w:color w:val="000000" w:themeColor="text1"/>
        </w:rPr>
      </w:pPr>
    </w:p>
    <w:p w:rsidR="00DF58C3" w:rsidRPr="0044196C" w:rsidRDefault="00DF58C3" w:rsidP="00DF58C3">
      <w:pPr>
        <w:pStyle w:val="a0"/>
        <w:rPr>
          <w:color w:val="000000" w:themeColor="text1"/>
        </w:rPr>
      </w:pPr>
      <w:r w:rsidRPr="0044196C">
        <w:rPr>
          <w:color w:val="000000" w:themeColor="text1"/>
        </w:rPr>
        <w:lastRenderedPageBreak/>
        <w:t>Антигипертензивная терапия у пациентов с нефрогенной АГ должна сочетаться с коррекцией нарушений пуринового, липидного, углеводного, фосфорно-кальциевого обмена, анемии в соответствии с общими принципами нефро/кардиопротективной стратегии  (НГ).</w:t>
      </w:r>
    </w:p>
    <w:p w:rsidR="00DF58C3" w:rsidRPr="0044196C" w:rsidRDefault="00D22E17" w:rsidP="00DF58C3">
      <w:pPr>
        <w:tabs>
          <w:tab w:val="left" w:pos="3573"/>
        </w:tabs>
        <w:rPr>
          <w:rFonts w:cs="Times New Roman"/>
          <w:color w:val="000000" w:themeColor="text1"/>
        </w:rPr>
      </w:pPr>
      <w:r w:rsidRPr="0044196C">
        <w:rPr>
          <w:rFonts w:cs="Times New Roman"/>
          <w:color w:val="000000" w:themeColor="text1"/>
        </w:rPr>
        <w:t>Разнообразные нарушения обмена веществ встречаются при ХБП значительно чаще, чем в общей популяции и усугубляются по мере ее прогрессирования.</w:t>
      </w:r>
      <w:r w:rsidR="00D77736" w:rsidRPr="0044196C">
        <w:rPr>
          <w:rFonts w:cs="Times New Roman"/>
          <w:color w:val="000000" w:themeColor="text1"/>
        </w:rPr>
        <w:t xml:space="preserve"> </w:t>
      </w:r>
      <w:r w:rsidR="00EA3B99" w:rsidRPr="0044196C">
        <w:rPr>
          <w:rFonts w:cs="Times New Roman"/>
          <w:color w:val="000000" w:themeColor="text1"/>
        </w:rPr>
        <w:t xml:space="preserve">Гиперурикемия, гиперлипидемия, </w:t>
      </w:r>
      <w:r w:rsidRPr="0044196C">
        <w:rPr>
          <w:rFonts w:cs="Times New Roman"/>
          <w:color w:val="000000" w:themeColor="text1"/>
        </w:rPr>
        <w:t xml:space="preserve">снижение толерантности к углеводам, нарушения фосфорно-кальциевого обмена и анемия способствуют повышению АД и риска развития ССО.  Кроме того, они могут лимитировать назначение некоторых антигипертензивных препаратов (диуретиков, бета-адреноблокаторов). </w:t>
      </w:r>
    </w:p>
    <w:p w:rsidR="00DF58C3" w:rsidRPr="0044196C" w:rsidRDefault="005760B7" w:rsidP="00DF58C3">
      <w:pPr>
        <w:tabs>
          <w:tab w:val="left" w:pos="3573"/>
        </w:tabs>
        <w:rPr>
          <w:rFonts w:cs="Times New Roman"/>
          <w:color w:val="000000" w:themeColor="text1"/>
        </w:rPr>
      </w:pPr>
      <w:r w:rsidRPr="0044196C">
        <w:rPr>
          <w:color w:val="000000" w:themeColor="text1"/>
        </w:rPr>
        <w:t xml:space="preserve">Для своевременного выявления и коррекции данных нарушений должны проводиться регулярные обследования с последующим индивидуальным подбором диеты и, при необходимости – медикаментозной терапии </w:t>
      </w:r>
      <w:r w:rsidR="00072150" w:rsidRPr="0044196C">
        <w:rPr>
          <w:color w:val="000000" w:themeColor="text1"/>
        </w:rPr>
        <w:t xml:space="preserve">(аллопуринол, статины, эзетимиб и др.) </w:t>
      </w:r>
      <w:r w:rsidRPr="0044196C">
        <w:rPr>
          <w:color w:val="000000" w:themeColor="text1"/>
        </w:rPr>
        <w:t xml:space="preserve">в соответствии с Рекомендациями по диагностике и ведению ХБП, лечению анемии, гиперлипидемии, нарушений фосфорно-кальциевого обмена </w:t>
      </w:r>
      <w:r w:rsidRPr="0044196C">
        <w:rPr>
          <w:color w:val="000000" w:themeColor="text1"/>
          <w:lang w:val="en-US"/>
        </w:rPr>
        <w:t>[]</w:t>
      </w:r>
      <w:r w:rsidRPr="0044196C">
        <w:rPr>
          <w:color w:val="000000" w:themeColor="text1"/>
        </w:rPr>
        <w:t xml:space="preserve">. </w:t>
      </w:r>
    </w:p>
    <w:p w:rsidR="00490686" w:rsidRPr="0044196C" w:rsidRDefault="00DB4278" w:rsidP="00490686">
      <w:pPr>
        <w:pStyle w:val="a0"/>
        <w:rPr>
          <w:color w:val="000000" w:themeColor="text1"/>
        </w:rPr>
      </w:pPr>
      <w:bookmarkStart w:id="78" w:name="_Toc279732227"/>
      <w:bookmarkStart w:id="79" w:name="_Ref279822674"/>
      <w:r w:rsidRPr="0044196C">
        <w:rPr>
          <w:color w:val="000000" w:themeColor="text1"/>
        </w:rPr>
        <w:t>Больные с резистентностью к лечению препаратами, снижающими АД, нуждаются в дополнительном обследовании для уточнения его причин</w:t>
      </w:r>
      <w:r w:rsidR="00D70D84" w:rsidRPr="0044196C">
        <w:rPr>
          <w:color w:val="000000" w:themeColor="text1"/>
        </w:rPr>
        <w:t xml:space="preserve"> и</w:t>
      </w:r>
      <w:r w:rsidRPr="0044196C">
        <w:rPr>
          <w:color w:val="000000" w:themeColor="text1"/>
        </w:rPr>
        <w:t xml:space="preserve"> коррекции терапии, более частом мониторинге</w:t>
      </w:r>
      <w:r w:rsidR="00D70D84" w:rsidRPr="0044196C">
        <w:rPr>
          <w:color w:val="000000" w:themeColor="text1"/>
        </w:rPr>
        <w:t xml:space="preserve"> основных целевых показателей ХБП и маркеров ССО</w:t>
      </w:r>
      <w:r w:rsidRPr="0044196C">
        <w:rPr>
          <w:color w:val="000000" w:themeColor="text1"/>
        </w:rPr>
        <w:t xml:space="preserve">. </w:t>
      </w:r>
      <w:bookmarkEnd w:id="78"/>
      <w:bookmarkEnd w:id="79"/>
    </w:p>
    <w:p w:rsidR="00BB1F38" w:rsidRPr="0044196C" w:rsidRDefault="00D70D84" w:rsidP="00D122F4">
      <w:pPr>
        <w:tabs>
          <w:tab w:val="left" w:pos="3573"/>
        </w:tabs>
        <w:rPr>
          <w:color w:val="000000" w:themeColor="text1"/>
        </w:rPr>
      </w:pPr>
      <w:r w:rsidRPr="0044196C">
        <w:rPr>
          <w:rFonts w:cs="Times New Roman"/>
          <w:color w:val="000000" w:themeColor="text1"/>
        </w:rPr>
        <w:t>Резистеность</w:t>
      </w:r>
      <w:r w:rsidR="00D640E9" w:rsidRPr="0044196C">
        <w:rPr>
          <w:rFonts w:cs="Times New Roman"/>
          <w:color w:val="000000" w:themeColor="text1"/>
        </w:rPr>
        <w:t>или рефрактерность</w:t>
      </w:r>
      <w:r w:rsidRPr="0044196C">
        <w:rPr>
          <w:rFonts w:cs="Times New Roman"/>
          <w:color w:val="000000" w:themeColor="text1"/>
        </w:rPr>
        <w:t xml:space="preserve">к антигипепртензивной терапии при ХБП представляет серьезную проблему, поскольку более чем у половины пациентов не удается достичь целевых значений АД </w:t>
      </w:r>
      <w:r w:rsidR="009D7C63" w:rsidRPr="0044196C">
        <w:rPr>
          <w:color w:val="000000" w:themeColor="text1"/>
        </w:rPr>
        <w:fldChar w:fldCharType="begin" w:fldLock="1"/>
      </w:r>
      <w:r w:rsidRPr="0044196C">
        <w:rPr>
          <w:color w:val="000000" w:themeColor="text1"/>
        </w:rPr>
        <w:instrText>ADDIN CSL_CITATION { "citationItems" : [ { "id" : "ITEM-1", "itemData" : { "DOI" : "10.1186/1471-2369-14-132", "ISSN" : "1471-2369", "PMID" : "23802885", "abstract" : "BACKGROUND: For chronic kidney disease (CKD) patients, national treatment guidelines recommend a low-density lipoprotein cholesterol (LDL-C) goal &lt;100 mg/dL and blood pressure (BP) target &lt;130/80 mmHg. This analysis assessed the current status of cardiovascular (CV) risk factor treatment and control in US adults with CKD. METHODS: Weighted prevalence estimates of CV-related comorbidities, utilization of lipid- and BP-lowering agents, and LDL-C and BP goal attainment in US adults with CKD were assessed among 9,915 men and nonpregnant women aged \u226520 years identified from the fasting subsample of the 2001-2010 National Health and Nutritional Examination Survey (NHANES). Analyses were performed using SAS survey procedures that consider the complex, multistage, probability sampling design of NHANES. All estimates were standardized to the 2008 US adult population (\u226520 years). Data were stratified by CKD stage based on presence of albuminuria and estimated glomerular filtration rate (eGFR), calculated using the Chronic Kidney Disease Epidemiology Collaboration (CKD-EPI) equation. Stage 3 CKD was subdivided into 3a (eGFR 45-59 mL/min/1.73 m(2)) and 3b (eGFR 30-44 mL/min/1.73 m(2)); Stage 5 CKD and dialysis recipients were excluded. RESULTS: Of the 9,915 NHANES participants identified for analysis, 1,428 had CKD (Stage 1-4), corresponding to a prevalence estimate for US adults aged \u226520 years of 10.2%. Prevalence of CV-related comorbidities increased markedly with CKD stage, with a ~6-12-fold increase in cardiovascular disease, coronary heart disease (CHD), stroke and congestive heart failure between CKD Stage 1 and 4; prevalence of diabetes, hyperlipidemia and hypertension increased by ~1.2-1.6-fold. Use of lipid-lowering agents increased with CKD stage, from 18.1% (Stage 1) to 44.8% (Stage 4). LDL-C goal attainment increased from 35.8% (Stage 1) to 52.8% (Stage 3b), but decreased in Stage 4 (50.7%). BP goal attainment decreased between Stage 1 and 4 (from 49.5% to 30.2%), despite increased use of antihypertensives (from 30.2% to 78.9%). CONCLUSIONS: Individuals with CKD have a high prevalence of CV-related comorbidities. However, attainment of LDL-C or BP goals was low regardless of disease stage. These findings highlight the potential for intensive risk factor modification to maximize CV event reduction in CKD patients at high risk for CHD.", "author" : [ { "dropping-particle" : "", "family" : "Kuznik", "given" : "Andreas", "non-dropping-particle" : "", "parse-names" : false, "suffix" : "" }, { "dropping-particle" : "", "family" : "Mardekian", "given" : "Jack", "non-dropping-particle" : "", "parse-names" : false, "suffix" : "" }, { "dropping-particle" : "", "family" : "Tarasenko", "given" : "Lisa", "non-dropping-particle" : "", "parse-names" : false, "suffix" : "" } ], "container-title" : "BMC nephrology", "id" : "ITEM-1", "issue" : "1", "issued" : { "date-parts" : [ [ "2013", "1" ] ] }, "page" : "132", "publisher" : "BMC Nephrology", "title" : "Evaluation of cardiovascular disease burden and therapeutic goal attainment in US adults with chronic kidney disease: an analysis of national health and nutritional examination survey data, 2001-2010.", "type" : "article-journal", "volume" : "14" }, "uris" : [ "http://www.mendeley.com/documents/?uuid=fc22a408-9ede-4559-a109-d7c7a077673b" ] } ], "mendeley" : { "previouslyFormattedCitation" : "[Kuznik, Mardekian, Tarasenko, 2013]" }, "properties" : { "noteIndex" : 0 }, "schema" : "https://github.com/citation-style-language/schema/raw/master/csl-citation.json" }</w:instrText>
      </w:r>
      <w:r w:rsidR="009D7C63" w:rsidRPr="0044196C">
        <w:rPr>
          <w:color w:val="000000" w:themeColor="text1"/>
        </w:rPr>
        <w:fldChar w:fldCharType="separate"/>
      </w:r>
      <w:r w:rsidRPr="0044196C">
        <w:rPr>
          <w:noProof/>
          <w:color w:val="000000" w:themeColor="text1"/>
        </w:rPr>
        <w:t>[Kuznik, Mardekian, Tarasenko, 2013]</w:t>
      </w:r>
      <w:r w:rsidR="009D7C63" w:rsidRPr="0044196C">
        <w:rPr>
          <w:color w:val="000000" w:themeColor="text1"/>
        </w:rPr>
        <w:fldChar w:fldCharType="end"/>
      </w:r>
      <w:r w:rsidRPr="0044196C">
        <w:rPr>
          <w:color w:val="000000" w:themeColor="text1"/>
        </w:rPr>
        <w:t>. Резистентной считают АГ, при которой сохраняется САД≥140 и/или ДАД≥90 мм рт.ст., несмотря на регулярный прием комбинации из трех препаратов, снижающих АД, одним из которых является диуретик [].</w:t>
      </w:r>
    </w:p>
    <w:p w:rsidR="0084735E" w:rsidRPr="0044196C" w:rsidRDefault="00A04432" w:rsidP="00D122F4">
      <w:pPr>
        <w:tabs>
          <w:tab w:val="left" w:pos="3573"/>
        </w:tabs>
        <w:rPr>
          <w:color w:val="000000" w:themeColor="text1"/>
        </w:rPr>
      </w:pPr>
      <w:r w:rsidRPr="0044196C">
        <w:rPr>
          <w:color w:val="000000" w:themeColor="text1"/>
        </w:rPr>
        <w:t>Следует отличать истинную резистентность от мнимой, связанной с низкой приверженности пациентов принципам лечения и другим</w:t>
      </w:r>
      <w:r w:rsidR="00086F98" w:rsidRPr="0044196C">
        <w:rPr>
          <w:color w:val="000000" w:themeColor="text1"/>
        </w:rPr>
        <w:t>и</w:t>
      </w:r>
      <w:r w:rsidRPr="0044196C">
        <w:rPr>
          <w:color w:val="000000" w:themeColor="text1"/>
        </w:rPr>
        <w:t xml:space="preserve"> причинам</w:t>
      </w:r>
      <w:r w:rsidR="00086F98" w:rsidRPr="0044196C">
        <w:rPr>
          <w:color w:val="000000" w:themeColor="text1"/>
        </w:rPr>
        <w:t>и</w:t>
      </w:r>
      <w:r w:rsidRPr="0044196C">
        <w:rPr>
          <w:color w:val="000000" w:themeColor="text1"/>
        </w:rPr>
        <w:t>, приводящим</w:t>
      </w:r>
      <w:r w:rsidR="00086F98" w:rsidRPr="0044196C">
        <w:rPr>
          <w:color w:val="000000" w:themeColor="text1"/>
        </w:rPr>
        <w:t>и</w:t>
      </w:r>
      <w:r w:rsidRPr="0044196C">
        <w:rPr>
          <w:color w:val="000000" w:themeColor="text1"/>
        </w:rPr>
        <w:t xml:space="preserve"> к невозможности выполнить </w:t>
      </w:r>
      <w:r w:rsidR="00086F98" w:rsidRPr="0044196C">
        <w:rPr>
          <w:color w:val="000000" w:themeColor="text1"/>
        </w:rPr>
        <w:t xml:space="preserve">в полной мере </w:t>
      </w:r>
      <w:r w:rsidRPr="0044196C">
        <w:rPr>
          <w:color w:val="000000" w:themeColor="text1"/>
        </w:rPr>
        <w:t>назначения</w:t>
      </w:r>
      <w:r w:rsidR="00086F98" w:rsidRPr="0044196C">
        <w:rPr>
          <w:color w:val="000000" w:themeColor="text1"/>
        </w:rPr>
        <w:t xml:space="preserve"> врача по приему антигипертензивных препаратов</w:t>
      </w:r>
      <w:r w:rsidRPr="0044196C">
        <w:rPr>
          <w:color w:val="000000" w:themeColor="text1"/>
        </w:rPr>
        <w:t xml:space="preserve">. </w:t>
      </w:r>
    </w:p>
    <w:p w:rsidR="0084735E" w:rsidRPr="0044196C" w:rsidRDefault="0084735E" w:rsidP="00D122F4">
      <w:pPr>
        <w:tabs>
          <w:tab w:val="left" w:pos="3573"/>
        </w:tabs>
        <w:rPr>
          <w:color w:val="000000" w:themeColor="text1"/>
        </w:rPr>
      </w:pPr>
      <w:r w:rsidRPr="0044196C">
        <w:rPr>
          <w:color w:val="000000" w:themeColor="text1"/>
        </w:rPr>
        <w:t xml:space="preserve">При выяснении причин резистентности АГ к лечению необходимо уточнять правильность соблюдения рекомендаций, касающихся диеты (ограничения соли), </w:t>
      </w:r>
      <w:r w:rsidR="00577112" w:rsidRPr="0044196C">
        <w:rPr>
          <w:color w:val="000000" w:themeColor="text1"/>
        </w:rPr>
        <w:t xml:space="preserve">исключения курения, употребления наркотических препаратов, пагубного употребления алкоголя, </w:t>
      </w:r>
      <w:r w:rsidRPr="0044196C">
        <w:rPr>
          <w:color w:val="000000" w:themeColor="text1"/>
        </w:rPr>
        <w:t xml:space="preserve">возможную связь данного феномена с одновременным приемом </w:t>
      </w:r>
      <w:r w:rsidR="00072150" w:rsidRPr="0044196C">
        <w:rPr>
          <w:color w:val="000000" w:themeColor="text1"/>
        </w:rPr>
        <w:t>лекарственных средств</w:t>
      </w:r>
      <w:r w:rsidRPr="0044196C">
        <w:rPr>
          <w:color w:val="000000" w:themeColor="text1"/>
        </w:rPr>
        <w:t>, способствующих повышению АД и снижению чувствительности к антигипертензивным средствам (</w:t>
      </w:r>
      <w:r w:rsidR="008B3321" w:rsidRPr="0044196C">
        <w:rPr>
          <w:color w:val="000000" w:themeColor="text1"/>
        </w:rPr>
        <w:t>анальгетики, НПВП, препараты спорыньи, препараты женских половых гормонов, анаболические стероиды, циклоспорин, такролимус, препараты эритропоэтина</w:t>
      </w:r>
      <w:r w:rsidR="00577112" w:rsidRPr="0044196C">
        <w:rPr>
          <w:color w:val="000000" w:themeColor="text1"/>
        </w:rPr>
        <w:t>, симпатомиметики и др.</w:t>
      </w:r>
      <w:r w:rsidRPr="0044196C">
        <w:rPr>
          <w:color w:val="000000" w:themeColor="text1"/>
        </w:rPr>
        <w:t>). Если назначены энтеросорбенты, необходимо исключить их одновременный прием с антигипертензивными и другими препаратами.</w:t>
      </w:r>
    </w:p>
    <w:p w:rsidR="00086F98" w:rsidRPr="0044196C" w:rsidRDefault="00086F98" w:rsidP="00D122F4">
      <w:pPr>
        <w:tabs>
          <w:tab w:val="left" w:pos="3573"/>
        </w:tabs>
        <w:rPr>
          <w:color w:val="000000" w:themeColor="text1"/>
        </w:rPr>
      </w:pPr>
      <w:r w:rsidRPr="0044196C">
        <w:rPr>
          <w:color w:val="000000" w:themeColor="text1"/>
        </w:rPr>
        <w:t xml:space="preserve">При отсутствии ответа на антигипертензивную терапию также необходимо исключить феномен так называемой псевдогипертонии, связанной с неправильной методикой измерения АД (использование манжетыразмером, не соответствующим окружности плеча) или выраженным атеросклерозом и кальцинозом сосудов у пожилых и </w:t>
      </w:r>
      <w:r w:rsidRPr="0044196C">
        <w:rPr>
          <w:color w:val="000000" w:themeColor="text1"/>
        </w:rPr>
        <w:lastRenderedPageBreak/>
        <w:t xml:space="preserve">пациентов с ХБП С4-5, когда вследствие очень высокой жесткости плечевая артерия не может быть пережата манжетой. </w:t>
      </w:r>
    </w:p>
    <w:p w:rsidR="00577112" w:rsidRPr="0044196C" w:rsidRDefault="00D70D84" w:rsidP="00D122F4">
      <w:pPr>
        <w:tabs>
          <w:tab w:val="left" w:pos="3573"/>
        </w:tabs>
        <w:rPr>
          <w:color w:val="000000" w:themeColor="text1"/>
        </w:rPr>
      </w:pPr>
      <w:r w:rsidRPr="0044196C">
        <w:rPr>
          <w:color w:val="000000" w:themeColor="text1"/>
        </w:rPr>
        <w:t xml:space="preserve">Основными причинами </w:t>
      </w:r>
      <w:r w:rsidR="00A04432" w:rsidRPr="0044196C">
        <w:rPr>
          <w:color w:val="000000" w:themeColor="text1"/>
        </w:rPr>
        <w:t xml:space="preserve">истинной </w:t>
      </w:r>
      <w:r w:rsidRPr="0044196C">
        <w:rPr>
          <w:color w:val="000000" w:themeColor="text1"/>
        </w:rPr>
        <w:t xml:space="preserve">резистентности </w:t>
      </w:r>
      <w:r w:rsidR="00A04432" w:rsidRPr="0044196C">
        <w:rPr>
          <w:color w:val="000000" w:themeColor="text1"/>
        </w:rPr>
        <w:t xml:space="preserve">АГ к лечению </w:t>
      </w:r>
      <w:r w:rsidR="00072150" w:rsidRPr="0044196C">
        <w:rPr>
          <w:color w:val="000000" w:themeColor="text1"/>
        </w:rPr>
        <w:t xml:space="preserve">при ХБП </w:t>
      </w:r>
      <w:r w:rsidRPr="0044196C">
        <w:rPr>
          <w:color w:val="000000" w:themeColor="text1"/>
        </w:rPr>
        <w:t xml:space="preserve">являются: персистирующая активность нефрита при аутоиммунных заболеваниях почек, выраженное снижение СКФ, </w:t>
      </w:r>
      <w:r w:rsidR="0084735E" w:rsidRPr="0044196C">
        <w:rPr>
          <w:color w:val="000000" w:themeColor="text1"/>
        </w:rPr>
        <w:t>ожирение и инсулинорезистентность, синдром ночного апноэ, выраженный атеросклероз сос</w:t>
      </w:r>
      <w:r w:rsidR="00D640E9" w:rsidRPr="0044196C">
        <w:rPr>
          <w:color w:val="000000" w:themeColor="text1"/>
        </w:rPr>
        <w:t xml:space="preserve">удов, кровоснабжающих </w:t>
      </w:r>
      <w:r w:rsidR="0084735E" w:rsidRPr="0044196C">
        <w:rPr>
          <w:color w:val="000000" w:themeColor="text1"/>
        </w:rPr>
        <w:t xml:space="preserve">головной мозг, развитие вазоренальной АГ, </w:t>
      </w:r>
      <w:r w:rsidR="00577112" w:rsidRPr="0044196C">
        <w:rPr>
          <w:color w:val="000000" w:themeColor="text1"/>
        </w:rPr>
        <w:t xml:space="preserve">наличие системного васкулита, антифосфолипидного синдрома, </w:t>
      </w:r>
      <w:r w:rsidR="0084735E" w:rsidRPr="0044196C">
        <w:rPr>
          <w:color w:val="000000" w:themeColor="text1"/>
        </w:rPr>
        <w:t xml:space="preserve">развитие </w:t>
      </w:r>
      <w:r w:rsidR="00577112" w:rsidRPr="0044196C">
        <w:rPr>
          <w:color w:val="000000" w:themeColor="text1"/>
        </w:rPr>
        <w:t xml:space="preserve">на фоне ХБП </w:t>
      </w:r>
      <w:r w:rsidR="0084735E" w:rsidRPr="0044196C">
        <w:rPr>
          <w:color w:val="000000" w:themeColor="text1"/>
        </w:rPr>
        <w:t xml:space="preserve">других </w:t>
      </w:r>
      <w:r w:rsidR="00577112" w:rsidRPr="0044196C">
        <w:rPr>
          <w:color w:val="000000" w:themeColor="text1"/>
        </w:rPr>
        <w:t xml:space="preserve">вариантов вторичной АГ (эндокринных).Выявление феномена резистентной АГ требует повторного многостороннего обследования </w:t>
      </w:r>
      <w:r w:rsidR="00D640E9" w:rsidRPr="0044196C">
        <w:rPr>
          <w:color w:val="000000" w:themeColor="text1"/>
        </w:rPr>
        <w:t xml:space="preserve">с целью исключения перечисленных факторов, которое включает проведение СМАД и УЗДГ сосудов почек (см. рекомендации </w:t>
      </w:r>
      <w:fldSimple w:instr=" REF _Ref279576134 \n \h  \* MERGEFORMAT ">
        <w:r w:rsidR="00D640E9" w:rsidRPr="0044196C">
          <w:rPr>
            <w:color w:val="000000" w:themeColor="text1"/>
          </w:rPr>
          <w:t>5.3</w:t>
        </w:r>
      </w:fldSimple>
      <w:r w:rsidR="00D640E9" w:rsidRPr="0044196C">
        <w:rPr>
          <w:color w:val="000000" w:themeColor="text1"/>
        </w:rPr>
        <w:t xml:space="preserve">, </w:t>
      </w:r>
      <w:fldSimple w:instr=" REF _Ref279578292 \n \h  \* MERGEFORMAT ">
        <w:r w:rsidR="00D640E9" w:rsidRPr="0044196C">
          <w:rPr>
            <w:color w:val="000000" w:themeColor="text1"/>
          </w:rPr>
          <w:t>5.4</w:t>
        </w:r>
      </w:fldSimple>
      <w:r w:rsidR="00D640E9" w:rsidRPr="0044196C">
        <w:rPr>
          <w:color w:val="000000" w:themeColor="text1"/>
        </w:rPr>
        <w:t xml:space="preserve">, </w:t>
      </w:r>
      <w:fldSimple w:instr=" REF _Ref280275034 \n \h  \* MERGEFORMAT ">
        <w:r w:rsidR="00D640E9" w:rsidRPr="0044196C">
          <w:rPr>
            <w:color w:val="000000" w:themeColor="text1"/>
          </w:rPr>
          <w:t>5.5</w:t>
        </w:r>
      </w:fldSimple>
      <w:r w:rsidR="00D640E9" w:rsidRPr="0044196C">
        <w:rPr>
          <w:color w:val="000000" w:themeColor="text1"/>
        </w:rPr>
        <w:t xml:space="preserve">). </w:t>
      </w:r>
    </w:p>
    <w:p w:rsidR="00D640E9" w:rsidRPr="0044196C" w:rsidRDefault="005B684E" w:rsidP="00D122F4">
      <w:pPr>
        <w:tabs>
          <w:tab w:val="left" w:pos="3573"/>
        </w:tabs>
        <w:rPr>
          <w:color w:val="000000" w:themeColor="text1"/>
        </w:rPr>
      </w:pPr>
      <w:r w:rsidRPr="0044196C">
        <w:rPr>
          <w:color w:val="000000" w:themeColor="text1"/>
        </w:rPr>
        <w:t xml:space="preserve">Преодоление резистентности возможно за счет увеличения объема антигипертензивной терапии – сочетания </w:t>
      </w:r>
      <w:r w:rsidR="0030554B" w:rsidRPr="0044196C">
        <w:rPr>
          <w:color w:val="000000" w:themeColor="text1"/>
        </w:rPr>
        <w:t>препарата, подавляющего РАС, с несколькими</w:t>
      </w:r>
      <w:r w:rsidRPr="0044196C">
        <w:rPr>
          <w:color w:val="000000" w:themeColor="text1"/>
        </w:rPr>
        <w:t xml:space="preserve"> мочегонны</w:t>
      </w:r>
      <w:r w:rsidR="0030554B" w:rsidRPr="0044196C">
        <w:rPr>
          <w:color w:val="000000" w:themeColor="text1"/>
        </w:rPr>
        <w:t>ми (тиазид+</w:t>
      </w:r>
      <w:r w:rsidRPr="0044196C">
        <w:rPr>
          <w:color w:val="000000" w:themeColor="text1"/>
        </w:rPr>
        <w:t xml:space="preserve"> петлево</w:t>
      </w:r>
      <w:r w:rsidR="0030554B" w:rsidRPr="0044196C">
        <w:rPr>
          <w:color w:val="000000" w:themeColor="text1"/>
        </w:rPr>
        <w:t>й диуретик; антагонист</w:t>
      </w:r>
      <w:r w:rsidRPr="0044196C">
        <w:rPr>
          <w:color w:val="000000" w:themeColor="text1"/>
        </w:rPr>
        <w:t xml:space="preserve"> альдостерона </w:t>
      </w:r>
      <w:r w:rsidR="0030554B" w:rsidRPr="0044196C">
        <w:rPr>
          <w:color w:val="000000" w:themeColor="text1"/>
        </w:rPr>
        <w:t xml:space="preserve">+ петлевой диуретик), АКд, </w:t>
      </w:r>
      <w:r w:rsidR="0030554B" w:rsidRPr="0044196C">
        <w:rPr>
          <w:color w:val="000000" w:themeColor="text1"/>
        </w:rPr>
        <w:sym w:font="Symbol" w:char="F062"/>
      </w:r>
      <w:r w:rsidR="0030554B" w:rsidRPr="0044196C">
        <w:rPr>
          <w:color w:val="000000" w:themeColor="text1"/>
        </w:rPr>
        <w:t xml:space="preserve">-АБ, </w:t>
      </w:r>
      <w:r w:rsidR="0030554B" w:rsidRPr="0044196C">
        <w:rPr>
          <w:color w:val="000000" w:themeColor="text1"/>
        </w:rPr>
        <w:sym w:font="Symbol" w:char="F061"/>
      </w:r>
      <w:r w:rsidR="0030554B" w:rsidRPr="0044196C">
        <w:rPr>
          <w:color w:val="000000" w:themeColor="text1"/>
        </w:rPr>
        <w:t xml:space="preserve">-АБ или </w:t>
      </w:r>
      <w:r w:rsidR="0030554B" w:rsidRPr="0044196C">
        <w:rPr>
          <w:color w:val="000000" w:themeColor="text1"/>
        </w:rPr>
        <w:sym w:font="Symbol" w:char="F061"/>
      </w:r>
      <w:r w:rsidR="0030554B" w:rsidRPr="0044196C">
        <w:rPr>
          <w:color w:val="000000" w:themeColor="text1"/>
        </w:rPr>
        <w:t>,</w:t>
      </w:r>
      <w:r w:rsidR="0030554B" w:rsidRPr="0044196C">
        <w:rPr>
          <w:color w:val="000000" w:themeColor="text1"/>
        </w:rPr>
        <w:sym w:font="Symbol" w:char="F062"/>
      </w:r>
      <w:r w:rsidR="0030554B" w:rsidRPr="0044196C">
        <w:rPr>
          <w:color w:val="000000" w:themeColor="text1"/>
        </w:rPr>
        <w:t>-АБ. Новые назначения должны делаться поэтапно с интервалом не менее 5-7 дней для оценки переносимости.</w:t>
      </w:r>
    </w:p>
    <w:p w:rsidR="0030554B" w:rsidRPr="0044196C" w:rsidRDefault="0030554B" w:rsidP="00343DCA">
      <w:pPr>
        <w:tabs>
          <w:tab w:val="left" w:pos="3573"/>
        </w:tabs>
        <w:rPr>
          <w:color w:val="000000" w:themeColor="text1"/>
        </w:rPr>
      </w:pPr>
      <w:r w:rsidRPr="0044196C">
        <w:rPr>
          <w:color w:val="000000" w:themeColor="text1"/>
        </w:rPr>
        <w:t xml:space="preserve">Новые методы хирургического лечения резистентной АГ </w:t>
      </w:r>
      <w:r w:rsidR="00343DCA" w:rsidRPr="0044196C">
        <w:rPr>
          <w:color w:val="000000" w:themeColor="text1"/>
        </w:rPr>
        <w:t>–</w:t>
      </w:r>
      <w:r w:rsidR="00D77736" w:rsidRPr="0044196C">
        <w:rPr>
          <w:color w:val="000000" w:themeColor="text1"/>
        </w:rPr>
        <w:t xml:space="preserve"> </w:t>
      </w:r>
      <w:r w:rsidR="00343DCA" w:rsidRPr="0044196C">
        <w:rPr>
          <w:color w:val="000000" w:themeColor="text1"/>
        </w:rPr>
        <w:t>эндоваскулярная абляция симпатического сплетения почечной артерии(почечная денервация) и электрическая стимуляция барорецепторов каротидного синуса – остаются недостаточно изученными. Их эффективность и безопасность при наличии ХБП требуют оценки в ходе проспективных исследований. В настоящее время СКФ &lt;45 мл/мин/1,73 м</w:t>
      </w:r>
      <w:r w:rsidR="00343DCA" w:rsidRPr="0044196C">
        <w:rPr>
          <w:color w:val="000000" w:themeColor="text1"/>
          <w:vertAlign w:val="superscript"/>
        </w:rPr>
        <w:t>2</w:t>
      </w:r>
      <w:r w:rsidR="00343DCA" w:rsidRPr="0044196C">
        <w:rPr>
          <w:color w:val="000000" w:themeColor="text1"/>
        </w:rPr>
        <w:t xml:space="preserve"> является  противопоказанием для их проведения.</w:t>
      </w:r>
    </w:p>
    <w:p w:rsidR="00340B9B" w:rsidRPr="0044196C" w:rsidRDefault="00340B9B" w:rsidP="00340B9B">
      <w:pPr>
        <w:widowControl w:val="0"/>
        <w:autoSpaceDE w:val="0"/>
        <w:autoSpaceDN w:val="0"/>
        <w:adjustRightInd w:val="0"/>
        <w:spacing w:before="0" w:after="240" w:line="240" w:lineRule="auto"/>
        <w:ind w:firstLine="0"/>
        <w:jc w:val="left"/>
        <w:rPr>
          <w:rFonts w:ascii="Times" w:hAnsi="Times" w:cs="Times"/>
          <w:color w:val="000000" w:themeColor="text1"/>
          <w:szCs w:val="24"/>
        </w:rPr>
      </w:pPr>
    </w:p>
    <w:p w:rsidR="007F7F47" w:rsidRPr="0044196C" w:rsidRDefault="007F7F47" w:rsidP="00622DC7">
      <w:pPr>
        <w:pStyle w:val="10"/>
        <w:numPr>
          <w:ilvl w:val="0"/>
          <w:numId w:val="3"/>
        </w:numPr>
        <w:tabs>
          <w:tab w:val="left" w:pos="3573"/>
        </w:tabs>
        <w:rPr>
          <w:rFonts w:cs="Times New Roman"/>
          <w:color w:val="000000" w:themeColor="text1"/>
        </w:rPr>
      </w:pPr>
      <w:bookmarkStart w:id="80" w:name="_Toc279732228"/>
      <w:bookmarkStart w:id="81" w:name="_Toc279831045"/>
      <w:r w:rsidRPr="0044196C">
        <w:rPr>
          <w:color w:val="000000" w:themeColor="text1"/>
        </w:rPr>
        <w:t>Особенности лечения АГ у больных</w:t>
      </w:r>
      <w:r w:rsidR="00D86F2F" w:rsidRPr="0044196C">
        <w:rPr>
          <w:color w:val="000000" w:themeColor="text1"/>
        </w:rPr>
        <w:t>, получающих заместительную почечную терапию</w:t>
      </w:r>
      <w:bookmarkEnd w:id="80"/>
      <w:bookmarkEnd w:id="81"/>
    </w:p>
    <w:p w:rsidR="004B6CD0" w:rsidRPr="0044196C" w:rsidRDefault="00A16324" w:rsidP="003E165F">
      <w:pPr>
        <w:pStyle w:val="a0"/>
        <w:rPr>
          <w:color w:val="000000" w:themeColor="text1"/>
        </w:rPr>
      </w:pPr>
      <w:bookmarkStart w:id="82" w:name="_Toc279732229"/>
      <w:r w:rsidRPr="0044196C">
        <w:rPr>
          <w:color w:val="000000" w:themeColor="text1"/>
        </w:rPr>
        <w:t xml:space="preserve">У больных, получающих лечение гемодиализом, необходима максимальная индивидуализация тактики лечения АГ </w:t>
      </w:r>
      <w:r w:rsidR="004B6CD0" w:rsidRPr="0044196C">
        <w:rPr>
          <w:color w:val="000000" w:themeColor="text1"/>
        </w:rPr>
        <w:t>с обеспечением стабильности АД,</w:t>
      </w:r>
      <w:r w:rsidRPr="0044196C">
        <w:rPr>
          <w:color w:val="000000" w:themeColor="text1"/>
        </w:rPr>
        <w:t xml:space="preserve"> исключением эпизодов интрадиализной и ортостатической гипотонии. В большинстве случаев при хорошей переносимости эксперты </w:t>
      </w:r>
      <w:r w:rsidRPr="0044196C">
        <w:rPr>
          <w:i/>
          <w:color w:val="000000" w:themeColor="text1"/>
        </w:rPr>
        <w:t xml:space="preserve">полагают целесообразным </w:t>
      </w:r>
      <w:r w:rsidR="004B6CD0" w:rsidRPr="0044196C">
        <w:rPr>
          <w:color w:val="000000" w:themeColor="text1"/>
        </w:rPr>
        <w:t xml:space="preserve">начинать лечение препаратами, снижающими АД, при стойком повышении САД </w:t>
      </w:r>
      <w:r w:rsidR="00CD65B1" w:rsidRPr="0044196C">
        <w:rPr>
          <w:color w:val="000000" w:themeColor="text1"/>
        </w:rPr>
        <w:t>≥</w:t>
      </w:r>
      <w:r w:rsidR="004B6CD0" w:rsidRPr="0044196C">
        <w:rPr>
          <w:color w:val="000000" w:themeColor="text1"/>
        </w:rPr>
        <w:t xml:space="preserve"> 130 или ДАД </w:t>
      </w:r>
      <w:r w:rsidR="00CD65B1" w:rsidRPr="0044196C">
        <w:rPr>
          <w:color w:val="000000" w:themeColor="text1"/>
        </w:rPr>
        <w:t>≥</w:t>
      </w:r>
      <w:r w:rsidR="004B6CD0" w:rsidRPr="0044196C">
        <w:rPr>
          <w:color w:val="000000" w:themeColor="text1"/>
        </w:rPr>
        <w:t xml:space="preserve"> 80 мм рт.ст. и  добиваться достижения уровня САД </w:t>
      </w:r>
      <w:r w:rsidR="00CD65B1" w:rsidRPr="0044196C">
        <w:rPr>
          <w:color w:val="000000" w:themeColor="text1"/>
        </w:rPr>
        <w:t>&lt;</w:t>
      </w:r>
      <w:r w:rsidR="004B6CD0" w:rsidRPr="0044196C">
        <w:rPr>
          <w:color w:val="000000" w:themeColor="text1"/>
        </w:rPr>
        <w:t xml:space="preserve"> 130 и ДАД </w:t>
      </w:r>
      <w:r w:rsidR="00CD65B1" w:rsidRPr="0044196C">
        <w:rPr>
          <w:color w:val="000000" w:themeColor="text1"/>
        </w:rPr>
        <w:t>&lt;</w:t>
      </w:r>
      <w:r w:rsidR="004B6CD0" w:rsidRPr="0044196C">
        <w:rPr>
          <w:color w:val="000000" w:themeColor="text1"/>
        </w:rPr>
        <w:t xml:space="preserve"> 80 мм рт.ст. (2</w:t>
      </w:r>
      <w:r w:rsidR="004B6CD0" w:rsidRPr="0044196C">
        <w:rPr>
          <w:color w:val="000000" w:themeColor="text1"/>
          <w:lang w:val="en-US"/>
        </w:rPr>
        <w:t>D</w:t>
      </w:r>
      <w:r w:rsidR="004B6CD0" w:rsidRPr="0044196C">
        <w:rPr>
          <w:color w:val="000000" w:themeColor="text1"/>
        </w:rPr>
        <w:t>).</w:t>
      </w:r>
      <w:bookmarkEnd w:id="82"/>
    </w:p>
    <w:p w:rsidR="004B6CD0" w:rsidRPr="0044196C" w:rsidRDefault="004B6CD0" w:rsidP="003E165F">
      <w:pPr>
        <w:pStyle w:val="a0"/>
        <w:rPr>
          <w:color w:val="000000" w:themeColor="text1"/>
        </w:rPr>
      </w:pPr>
      <w:bookmarkStart w:id="83" w:name="_Toc279732230"/>
      <w:r w:rsidRPr="0044196C">
        <w:rPr>
          <w:color w:val="000000" w:themeColor="text1"/>
        </w:rPr>
        <w:t xml:space="preserve">У больных, получающих лечение перитонеальным диализом, эксперты </w:t>
      </w:r>
      <w:r w:rsidRPr="0044196C">
        <w:rPr>
          <w:i/>
          <w:color w:val="000000" w:themeColor="text1"/>
        </w:rPr>
        <w:t xml:space="preserve">полагают целесообразным </w:t>
      </w:r>
      <w:r w:rsidRPr="0044196C">
        <w:rPr>
          <w:color w:val="000000" w:themeColor="text1"/>
        </w:rPr>
        <w:t xml:space="preserve">начинать лечение препаратами, снижающими АД, при стойком повышении САД </w:t>
      </w:r>
      <w:r w:rsidR="00CD65B1" w:rsidRPr="0044196C">
        <w:rPr>
          <w:color w:val="000000" w:themeColor="text1"/>
        </w:rPr>
        <w:t>≥</w:t>
      </w:r>
      <w:r w:rsidRPr="0044196C">
        <w:rPr>
          <w:color w:val="000000" w:themeColor="text1"/>
        </w:rPr>
        <w:t xml:space="preserve"> 130 или ДАД </w:t>
      </w:r>
      <w:r w:rsidR="00CD65B1" w:rsidRPr="0044196C">
        <w:rPr>
          <w:color w:val="000000" w:themeColor="text1"/>
        </w:rPr>
        <w:t>≥</w:t>
      </w:r>
      <w:r w:rsidRPr="0044196C">
        <w:rPr>
          <w:color w:val="000000" w:themeColor="text1"/>
        </w:rPr>
        <w:t xml:space="preserve"> 80 мм рт.ст. и  добиваться достижения уровня САД </w:t>
      </w:r>
      <w:r w:rsidR="00CD65B1" w:rsidRPr="0044196C">
        <w:rPr>
          <w:color w:val="000000" w:themeColor="text1"/>
        </w:rPr>
        <w:t>&lt;</w:t>
      </w:r>
      <w:r w:rsidRPr="0044196C">
        <w:rPr>
          <w:color w:val="000000" w:themeColor="text1"/>
        </w:rPr>
        <w:t xml:space="preserve"> 130 и ДАД </w:t>
      </w:r>
      <w:r w:rsidR="00CD65B1" w:rsidRPr="0044196C">
        <w:rPr>
          <w:color w:val="000000" w:themeColor="text1"/>
        </w:rPr>
        <w:t>&lt;</w:t>
      </w:r>
      <w:r w:rsidRPr="0044196C">
        <w:rPr>
          <w:color w:val="000000" w:themeColor="text1"/>
        </w:rPr>
        <w:t xml:space="preserve"> 80 мм рт.ст. (2</w:t>
      </w:r>
      <w:r w:rsidRPr="0044196C">
        <w:rPr>
          <w:color w:val="000000" w:themeColor="text1"/>
          <w:lang w:val="en-US"/>
        </w:rPr>
        <w:t>D</w:t>
      </w:r>
      <w:r w:rsidRPr="0044196C">
        <w:rPr>
          <w:color w:val="000000" w:themeColor="text1"/>
        </w:rPr>
        <w:t>).</w:t>
      </w:r>
      <w:bookmarkEnd w:id="83"/>
    </w:p>
    <w:p w:rsidR="00A16324" w:rsidRPr="0044196C" w:rsidRDefault="0026641C" w:rsidP="004B6CD0">
      <w:pPr>
        <w:pStyle w:val="a0"/>
        <w:rPr>
          <w:color w:val="000000" w:themeColor="text1"/>
        </w:rPr>
      </w:pPr>
      <w:bookmarkStart w:id="84" w:name="_Toc279732231"/>
      <w:r w:rsidRPr="0044196C">
        <w:rPr>
          <w:color w:val="000000" w:themeColor="text1"/>
        </w:rPr>
        <w:t xml:space="preserve">У больныхс трансплантированной почкой эксперты </w:t>
      </w:r>
      <w:r w:rsidRPr="0044196C">
        <w:rPr>
          <w:i/>
          <w:color w:val="000000" w:themeColor="text1"/>
        </w:rPr>
        <w:t>полагают целесообразным</w:t>
      </w:r>
      <w:r w:rsidRPr="0044196C">
        <w:rPr>
          <w:color w:val="000000" w:themeColor="text1"/>
        </w:rPr>
        <w:t xml:space="preserve">, независимо от уровня альбуминурии / протеинурии, начинать лечение препаратами, снижающими АД, при стойком повышении САД </w:t>
      </w:r>
      <w:r w:rsidR="00CD65B1" w:rsidRPr="0044196C">
        <w:rPr>
          <w:color w:val="000000" w:themeColor="text1"/>
        </w:rPr>
        <w:t>≥</w:t>
      </w:r>
      <w:r w:rsidRPr="0044196C">
        <w:rPr>
          <w:color w:val="000000" w:themeColor="text1"/>
        </w:rPr>
        <w:t xml:space="preserve"> 130 или ДАД </w:t>
      </w:r>
      <w:r w:rsidR="00CD65B1" w:rsidRPr="0044196C">
        <w:rPr>
          <w:color w:val="000000" w:themeColor="text1"/>
        </w:rPr>
        <w:t>≥</w:t>
      </w:r>
      <w:r w:rsidRPr="0044196C">
        <w:rPr>
          <w:color w:val="000000" w:themeColor="text1"/>
        </w:rPr>
        <w:t xml:space="preserve"> 80 мм рт.ст. и  добиваться достижения уровня САД </w:t>
      </w:r>
      <w:r w:rsidR="00CD65B1" w:rsidRPr="0044196C">
        <w:rPr>
          <w:color w:val="000000" w:themeColor="text1"/>
        </w:rPr>
        <w:t>&lt;</w:t>
      </w:r>
      <w:r w:rsidRPr="0044196C">
        <w:rPr>
          <w:color w:val="000000" w:themeColor="text1"/>
        </w:rPr>
        <w:t xml:space="preserve"> 130 и ДАД </w:t>
      </w:r>
      <w:r w:rsidR="00CD65B1" w:rsidRPr="0044196C">
        <w:rPr>
          <w:color w:val="000000" w:themeColor="text1"/>
        </w:rPr>
        <w:t>&lt;</w:t>
      </w:r>
      <w:r w:rsidRPr="0044196C">
        <w:rPr>
          <w:color w:val="000000" w:themeColor="text1"/>
        </w:rPr>
        <w:t xml:space="preserve"> 80 мм рт.ст. (2</w:t>
      </w:r>
      <w:r w:rsidRPr="0044196C">
        <w:rPr>
          <w:color w:val="000000" w:themeColor="text1"/>
          <w:lang w:val="en-US"/>
        </w:rPr>
        <w:t>D</w:t>
      </w:r>
      <w:r w:rsidRPr="0044196C">
        <w:rPr>
          <w:color w:val="000000" w:themeColor="text1"/>
        </w:rPr>
        <w:t>)</w:t>
      </w:r>
      <w:bookmarkEnd w:id="84"/>
    </w:p>
    <w:p w:rsidR="0026641C" w:rsidRPr="0044196C" w:rsidRDefault="0026641C" w:rsidP="0026641C">
      <w:pPr>
        <w:rPr>
          <w:color w:val="000000" w:themeColor="text1"/>
        </w:rPr>
      </w:pPr>
    </w:p>
    <w:p w:rsidR="007255C5" w:rsidRPr="0044196C" w:rsidRDefault="00FF3EBD" w:rsidP="0026641C">
      <w:pPr>
        <w:rPr>
          <w:color w:val="000000" w:themeColor="text1"/>
        </w:rPr>
      </w:pPr>
      <w:r w:rsidRPr="0044196C">
        <w:rPr>
          <w:color w:val="000000" w:themeColor="text1"/>
        </w:rPr>
        <w:lastRenderedPageBreak/>
        <w:t xml:space="preserve">Определение тактики коррекции АГ у больных, получающих заместительную почечную терапию (ЗПТ) представляет большие трудности: с одной стороны, они входят в группу очень высокого риска ССО (относительный риск смертности от ССО у пациентов, получающих лечение гемодиализом более чем в 100 раз выше, чем в общей популяции), что может служить доводом в пользу более строгого контроля АД. С другой стороны, для них характерна высокая лабильность АД, в связи с чем на фоне мощной антигипертензивной терапии возможны эпизоды гипотонии, связанные с риском ишемического поражения сердца и головного мозга, а также с гиперактивацией вазопрессорных гормональных систем, приводящих к дальнейшему резкому повышению АД. </w:t>
      </w:r>
      <w:r w:rsidR="0073240C" w:rsidRPr="0044196C">
        <w:rPr>
          <w:color w:val="000000" w:themeColor="text1"/>
        </w:rPr>
        <w:t xml:space="preserve">К сожалению, до настоящего времени отсутствует </w:t>
      </w:r>
      <w:r w:rsidR="00A45226" w:rsidRPr="0044196C">
        <w:rPr>
          <w:color w:val="000000" w:themeColor="text1"/>
        </w:rPr>
        <w:t xml:space="preserve">доказательная база, позволяющая оценивать влияние различной тактики антигипертензивной терапии пациентов с ХБП С5Д и ХБП Т на риск осложнений и выживаемость. Высокая смертность, связанная с целым рядом факторов, значительная неоднородность пациентов, получающих ЗПТ по клиническим характеристикам, прогностическим факторам и тактике самой ЗПТ ограничивает возможность установить самостоятельное влияние антигипертензивной терапии на прогноз. </w:t>
      </w:r>
    </w:p>
    <w:p w:rsidR="00FF3EBD" w:rsidRPr="0044196C" w:rsidRDefault="00FF3EBD" w:rsidP="0026641C">
      <w:pPr>
        <w:rPr>
          <w:color w:val="000000" w:themeColor="text1"/>
        </w:rPr>
      </w:pPr>
      <w:r w:rsidRPr="0044196C">
        <w:rPr>
          <w:color w:val="000000" w:themeColor="text1"/>
        </w:rPr>
        <w:t>ЗПТ является основным средством снижения АД</w:t>
      </w:r>
      <w:r w:rsidR="0073240C" w:rsidRPr="0044196C">
        <w:rPr>
          <w:color w:val="000000" w:themeColor="text1"/>
        </w:rPr>
        <w:t xml:space="preserve"> у пациентов с ТПН</w:t>
      </w:r>
      <w:r w:rsidRPr="0044196C">
        <w:rPr>
          <w:color w:val="000000" w:themeColor="text1"/>
        </w:rPr>
        <w:t xml:space="preserve">, </w:t>
      </w:r>
      <w:r w:rsidR="0073240C" w:rsidRPr="0044196C">
        <w:rPr>
          <w:color w:val="000000" w:themeColor="text1"/>
        </w:rPr>
        <w:t>развитие или нарастание тяжести АГ может быть одним из проявлений неадекватности диализа или развития дисфункции трансплантата почки</w:t>
      </w:r>
      <w:r w:rsidRPr="0044196C">
        <w:rPr>
          <w:color w:val="000000" w:themeColor="text1"/>
        </w:rPr>
        <w:t>. Имеются данные, что особые режимы гемодиализа</w:t>
      </w:r>
      <w:r w:rsidR="0073240C" w:rsidRPr="0044196C">
        <w:rPr>
          <w:color w:val="000000" w:themeColor="text1"/>
        </w:rPr>
        <w:t xml:space="preserve"> – длительный диализ, ежедневный диализ, позволяют добиться полной нормализации АД у подавляющего большинства пациентов с ХБП С5Д []. В то же время в течение процедуры гемодиализа возможно развитие эпизодов как резкого повышения АД, так и развитие интрадиализной гипотонии. Интрадиализная гипотония является серьезным осложнением, требующим преждевременного прекращения процедуры гемодиализа. Ее основная причина – необходимость удаления большого объема жидкости у пациентов, не соблюдающих водно-солевой режим. </w:t>
      </w:r>
      <w:r w:rsidR="00A45226" w:rsidRPr="0044196C">
        <w:rPr>
          <w:color w:val="000000" w:themeColor="text1"/>
        </w:rPr>
        <w:t>Однако неадекватная (агрессивная) антигипертензивная терапия может вносить дополнительный вклад в развитие интрадиализной терапии. Учитывая большую вариабельность АД в интрадиализный и междиализный период, наиболее информативным методом оценки тяжести АГ у больных, получающих лечение гемодиализом, является 48-часовое а</w:t>
      </w:r>
      <w:r w:rsidR="00E66E01" w:rsidRPr="0044196C">
        <w:rPr>
          <w:color w:val="000000" w:themeColor="text1"/>
        </w:rPr>
        <w:t>втоматическое мониторирование. При каузальных измерениях АД д</w:t>
      </w:r>
      <w:r w:rsidR="00A45226" w:rsidRPr="0044196C">
        <w:rPr>
          <w:color w:val="000000" w:themeColor="text1"/>
        </w:rPr>
        <w:t xml:space="preserve">ля </w:t>
      </w:r>
      <w:r w:rsidR="00E66E01" w:rsidRPr="0044196C">
        <w:rPr>
          <w:color w:val="000000" w:themeColor="text1"/>
        </w:rPr>
        <w:t>оценки, насколько терапия эффективна, следует ориентироваться на уровень АД, измеренное перед очередным сеансом гемодиализа. Для ответа на вопрос, насколько она безопасна, следует учитывать измерения АД, выполненные в течение процедуры диализа. У пациентов с ХБП С5Д рекомендуется чаще проводить тест на наличие постуральной (ортостатической) гипотонии.</w:t>
      </w:r>
    </w:p>
    <w:p w:rsidR="0026641C" w:rsidRPr="0044196C" w:rsidRDefault="00E66E01" w:rsidP="0026641C">
      <w:pPr>
        <w:rPr>
          <w:color w:val="000000" w:themeColor="text1"/>
        </w:rPr>
      </w:pPr>
      <w:r w:rsidRPr="0044196C">
        <w:rPr>
          <w:color w:val="000000" w:themeColor="text1"/>
        </w:rPr>
        <w:t xml:space="preserve">Пациенты с пересаженной почкой – также очень неоднородная группа. Ингибиторы кальциневрина, назначаемые с целью профилактики отторжения трансплантата, могут ухудшать почечный кровоток и способствовать повышению АД. На стадиях, когда проводится подбор иммуносупрессивной терапии </w:t>
      </w:r>
      <w:r w:rsidR="0090486C" w:rsidRPr="0044196C">
        <w:rPr>
          <w:color w:val="000000" w:themeColor="text1"/>
        </w:rPr>
        <w:t xml:space="preserve">и велик риск резкого ухудшения функции трансплантата следует отдавать предпочтение при выборе антигипертензивной терапии АКд, повышающим перфузию клубочков. У больных со стабильной функцией трансплантата, с наличием повышенной альбуминурии/протеинурии могут использоваться ИАПФ или БРА – как с целью кардиопротекции, так и защиты трансплантата от гемодинамического повреждения вследствие его гипперперфузии. </w:t>
      </w:r>
    </w:p>
    <w:p w:rsidR="0090486C" w:rsidRPr="0044196C" w:rsidRDefault="0090486C" w:rsidP="0026641C">
      <w:pPr>
        <w:rPr>
          <w:color w:val="000000" w:themeColor="text1"/>
        </w:rPr>
      </w:pPr>
      <w:r w:rsidRPr="0044196C">
        <w:rPr>
          <w:color w:val="000000" w:themeColor="text1"/>
        </w:rPr>
        <w:lastRenderedPageBreak/>
        <w:t xml:space="preserve">Таким образом, для пациентов, получающих ЗПТ необходима максимальная индивидуализация лечения  препаратами, снижающими АД. </w:t>
      </w:r>
      <w:r w:rsidR="006960FC" w:rsidRPr="0044196C">
        <w:rPr>
          <w:color w:val="000000" w:themeColor="text1"/>
        </w:rPr>
        <w:t>Авторы рекомендаций не видят оснований для пересмотра принятой в прошлые годы точки зрения, что для данной категории больных, характеризующихся крайне высоким риском ССО, желательно поддерживать АД на уровне ниже 130/80 мм рт.ст. И в то же время необходимо принимать усиленные</w:t>
      </w:r>
      <w:r w:rsidR="00770DCC" w:rsidRPr="0044196C">
        <w:rPr>
          <w:color w:val="000000" w:themeColor="text1"/>
        </w:rPr>
        <w:t>, по сравнению с додиализными стадиямиХБП</w:t>
      </w:r>
      <w:r w:rsidR="006960FC" w:rsidRPr="0044196C">
        <w:rPr>
          <w:color w:val="000000" w:themeColor="text1"/>
        </w:rPr>
        <w:t>, меры по обеспечению безопасности такой терапии и исключению эпизодов гипотонии.</w:t>
      </w:r>
    </w:p>
    <w:p w:rsidR="00BB1F38" w:rsidRPr="0044196C" w:rsidRDefault="003E165F" w:rsidP="00622DC7">
      <w:pPr>
        <w:pStyle w:val="10"/>
        <w:numPr>
          <w:ilvl w:val="0"/>
          <w:numId w:val="3"/>
        </w:numPr>
        <w:rPr>
          <w:color w:val="000000" w:themeColor="text1"/>
        </w:rPr>
      </w:pPr>
      <w:bookmarkStart w:id="85" w:name="_Toc279732232"/>
      <w:bookmarkStart w:id="86" w:name="_Toc279831046"/>
      <w:r w:rsidRPr="0044196C">
        <w:rPr>
          <w:color w:val="000000" w:themeColor="text1"/>
        </w:rPr>
        <w:t xml:space="preserve">Принципы </w:t>
      </w:r>
      <w:r w:rsidR="00BB1F38" w:rsidRPr="0044196C">
        <w:rPr>
          <w:color w:val="000000" w:themeColor="text1"/>
        </w:rPr>
        <w:t xml:space="preserve"> лечения АГ </w:t>
      </w:r>
      <w:bookmarkEnd w:id="85"/>
      <w:bookmarkEnd w:id="86"/>
      <w:r w:rsidRPr="0044196C">
        <w:rPr>
          <w:color w:val="000000" w:themeColor="text1"/>
        </w:rPr>
        <w:t>в особых возрастных группах</w:t>
      </w:r>
    </w:p>
    <w:p w:rsidR="00BB1F38" w:rsidRPr="0044196C" w:rsidRDefault="00BB1F38" w:rsidP="00BB1F38">
      <w:pPr>
        <w:tabs>
          <w:tab w:val="left" w:pos="3573"/>
        </w:tabs>
        <w:rPr>
          <w:rFonts w:cs="Times New Roman"/>
          <w:color w:val="000000" w:themeColor="text1"/>
        </w:rPr>
      </w:pPr>
    </w:p>
    <w:p w:rsidR="00576508" w:rsidRPr="0044196C" w:rsidRDefault="00E77FAA" w:rsidP="00770DCC">
      <w:pPr>
        <w:pStyle w:val="a0"/>
        <w:rPr>
          <w:color w:val="000000" w:themeColor="text1"/>
        </w:rPr>
      </w:pPr>
      <w:bookmarkStart w:id="87" w:name="_Toc279732233"/>
      <w:r w:rsidRPr="0044196C">
        <w:rPr>
          <w:color w:val="000000" w:themeColor="text1"/>
        </w:rPr>
        <w:t xml:space="preserve">У детей </w:t>
      </w:r>
      <w:r w:rsidR="00770DCC" w:rsidRPr="0044196C">
        <w:rPr>
          <w:color w:val="000000" w:themeColor="text1"/>
        </w:rPr>
        <w:t xml:space="preserve">и подростков </w:t>
      </w:r>
      <w:r w:rsidRPr="0044196C">
        <w:rPr>
          <w:color w:val="000000" w:themeColor="text1"/>
        </w:rPr>
        <w:t xml:space="preserve">с ХБП рекомендуется начинать </w:t>
      </w:r>
      <w:r w:rsidR="00B454A2" w:rsidRPr="0044196C">
        <w:rPr>
          <w:color w:val="000000" w:themeColor="text1"/>
        </w:rPr>
        <w:t>лечение препаратами, снижающими АД, при его уровне, стойко превышающим 90-ю перцетиль для соответствующего пола и возраста (1С).</w:t>
      </w:r>
      <w:bookmarkEnd w:id="87"/>
    </w:p>
    <w:p w:rsidR="00B454A2" w:rsidRPr="0044196C" w:rsidRDefault="00B454A2" w:rsidP="00E77FAA">
      <w:pPr>
        <w:pStyle w:val="a0"/>
        <w:rPr>
          <w:color w:val="000000" w:themeColor="text1"/>
        </w:rPr>
      </w:pPr>
      <w:bookmarkStart w:id="88" w:name="_Toc279732234"/>
      <w:r w:rsidRPr="0044196C">
        <w:rPr>
          <w:color w:val="000000" w:themeColor="text1"/>
        </w:rPr>
        <w:t xml:space="preserve">При лечении вторичной почечной АГ у детей </w:t>
      </w:r>
      <w:r w:rsidR="00770DCC" w:rsidRPr="0044196C">
        <w:rPr>
          <w:color w:val="000000" w:themeColor="text1"/>
        </w:rPr>
        <w:t xml:space="preserve">и подростков </w:t>
      </w:r>
      <w:r w:rsidRPr="0044196C">
        <w:rPr>
          <w:color w:val="000000" w:themeColor="text1"/>
        </w:rPr>
        <w:t xml:space="preserve">эксперты </w:t>
      </w:r>
      <w:r w:rsidRPr="0044196C">
        <w:rPr>
          <w:i/>
          <w:color w:val="000000" w:themeColor="text1"/>
        </w:rPr>
        <w:t>полагают целесообразным</w:t>
      </w:r>
      <w:r w:rsidRPr="0044196C">
        <w:rPr>
          <w:color w:val="000000" w:themeColor="text1"/>
        </w:rPr>
        <w:t xml:space="preserve"> добиваться снижения систолического и диастолического АД до уровня ниже </w:t>
      </w:r>
      <w:r w:rsidR="00401088" w:rsidRPr="0044196C">
        <w:rPr>
          <w:color w:val="000000" w:themeColor="text1"/>
        </w:rPr>
        <w:t>9</w:t>
      </w:r>
      <w:r w:rsidRPr="0044196C">
        <w:rPr>
          <w:color w:val="000000" w:themeColor="text1"/>
        </w:rPr>
        <w:t>0-й перцентили для соотве</w:t>
      </w:r>
      <w:r w:rsidR="00DA5C68" w:rsidRPr="0044196C">
        <w:rPr>
          <w:color w:val="000000" w:themeColor="text1"/>
        </w:rPr>
        <w:t>т</w:t>
      </w:r>
      <w:r w:rsidRPr="0044196C">
        <w:rPr>
          <w:color w:val="000000" w:themeColor="text1"/>
        </w:rPr>
        <w:t>ствующего пола и возраста</w:t>
      </w:r>
      <w:r w:rsidR="00576508" w:rsidRPr="0044196C">
        <w:rPr>
          <w:color w:val="000000" w:themeColor="text1"/>
        </w:rPr>
        <w:t xml:space="preserve"> (2</w:t>
      </w:r>
      <w:r w:rsidR="00576508" w:rsidRPr="0044196C">
        <w:rPr>
          <w:color w:val="000000" w:themeColor="text1"/>
          <w:lang w:val="en-US"/>
        </w:rPr>
        <w:t>D</w:t>
      </w:r>
      <w:r w:rsidR="00576508" w:rsidRPr="0044196C">
        <w:rPr>
          <w:color w:val="000000" w:themeColor="text1"/>
        </w:rPr>
        <w:t>).</w:t>
      </w:r>
      <w:bookmarkEnd w:id="88"/>
    </w:p>
    <w:p w:rsidR="00770DCC" w:rsidRPr="0044196C" w:rsidRDefault="00770DCC" w:rsidP="00770DCC">
      <w:pPr>
        <w:tabs>
          <w:tab w:val="left" w:pos="3573"/>
        </w:tabs>
        <w:rPr>
          <w:rFonts w:cs="Times New Roman"/>
          <w:color w:val="000000" w:themeColor="text1"/>
          <w:sz w:val="22"/>
        </w:rPr>
      </w:pPr>
      <w:r w:rsidRPr="0044196C">
        <w:rPr>
          <w:rFonts w:cs="Times New Roman"/>
          <w:color w:val="000000" w:themeColor="text1"/>
        </w:rPr>
        <w:t>Развитие АГ в детском возрасте имеет наиболее неблагоприятное значение, поскольку означает, что в течение многих десятков лет почки и сердечно-сосудистая система будут подвергаться пагубному воздействию повышенного АД. Учитывая это, а также то, что снижение АД лучше переносится в детском и подростковом возрасте, существует точка зрения [</w:t>
      </w:r>
      <w:r w:rsidR="00500880" w:rsidRPr="0044196C">
        <w:rPr>
          <w:rFonts w:cs="Times New Roman"/>
          <w:color w:val="000000" w:themeColor="text1"/>
          <w:lang w:val="en-US"/>
        </w:rPr>
        <w:t>KDIGO</w:t>
      </w:r>
      <w:r w:rsidR="00500880" w:rsidRPr="0044196C">
        <w:rPr>
          <w:rFonts w:cs="Times New Roman"/>
          <w:color w:val="000000" w:themeColor="text1"/>
        </w:rPr>
        <w:t>, 2012</w:t>
      </w:r>
      <w:r w:rsidRPr="0044196C">
        <w:rPr>
          <w:rFonts w:cs="Times New Roman"/>
          <w:color w:val="000000" w:themeColor="text1"/>
          <w:sz w:val="22"/>
        </w:rPr>
        <w:t>]</w:t>
      </w:r>
      <w:r w:rsidR="00500880" w:rsidRPr="0044196C">
        <w:rPr>
          <w:rFonts w:cs="Times New Roman"/>
          <w:color w:val="000000" w:themeColor="text1"/>
          <w:sz w:val="22"/>
        </w:rPr>
        <w:t>, что в этой возрастной группе при наличии ХБП необходимо снижать АД более строго, чем при отсутствии заболевания почек – до уровня ниже 50</w:t>
      </w:r>
      <w:r w:rsidR="00BA5A36" w:rsidRPr="0044196C">
        <w:rPr>
          <w:rFonts w:cs="Times New Roman"/>
          <w:color w:val="000000" w:themeColor="text1"/>
          <w:sz w:val="22"/>
        </w:rPr>
        <w:t>-й</w:t>
      </w:r>
      <w:r w:rsidR="00500880" w:rsidRPr="0044196C">
        <w:rPr>
          <w:rFonts w:cs="Times New Roman"/>
          <w:color w:val="000000" w:themeColor="text1"/>
          <w:sz w:val="22"/>
        </w:rPr>
        <w:t xml:space="preserve"> перцентили для </w:t>
      </w:r>
      <w:r w:rsidR="00500880" w:rsidRPr="0044196C">
        <w:rPr>
          <w:color w:val="000000" w:themeColor="text1"/>
        </w:rPr>
        <w:t>соответствующего пола и возраста</w:t>
      </w:r>
      <w:r w:rsidR="00500880" w:rsidRPr="0044196C">
        <w:rPr>
          <w:rFonts w:cs="Times New Roman"/>
          <w:color w:val="000000" w:themeColor="text1"/>
          <w:sz w:val="22"/>
        </w:rPr>
        <w:t xml:space="preserve">. </w:t>
      </w:r>
    </w:p>
    <w:p w:rsidR="007F7F47" w:rsidRPr="0044196C" w:rsidRDefault="00770DCC" w:rsidP="00770DCC">
      <w:pPr>
        <w:tabs>
          <w:tab w:val="left" w:pos="3573"/>
        </w:tabs>
        <w:rPr>
          <w:rFonts w:cs="Times New Roman"/>
          <w:color w:val="000000" w:themeColor="text1"/>
        </w:rPr>
      </w:pPr>
      <w:r w:rsidRPr="0044196C">
        <w:rPr>
          <w:rFonts w:cs="Times New Roman"/>
          <w:color w:val="000000" w:themeColor="text1"/>
        </w:rPr>
        <w:t>Вместе с тем отсутствуют долгосрочн</w:t>
      </w:r>
      <w:r w:rsidR="00BA5A36" w:rsidRPr="0044196C">
        <w:rPr>
          <w:rFonts w:cs="Times New Roman"/>
          <w:color w:val="000000" w:themeColor="text1"/>
        </w:rPr>
        <w:t>ые проспективные исследования, д</w:t>
      </w:r>
      <w:r w:rsidRPr="0044196C">
        <w:rPr>
          <w:rFonts w:cs="Times New Roman"/>
          <w:color w:val="000000" w:themeColor="text1"/>
        </w:rPr>
        <w:t>оказывающие</w:t>
      </w:r>
      <w:r w:rsidR="00500880" w:rsidRPr="0044196C">
        <w:rPr>
          <w:rFonts w:cs="Times New Roman"/>
          <w:color w:val="000000" w:themeColor="text1"/>
        </w:rPr>
        <w:t xml:space="preserve"> целесообразность такой тактики. Поэтому авторы данных рекомендация считают целесообразным проводить антигипепртензивную терапию в соотве</w:t>
      </w:r>
      <w:r w:rsidR="00BA5A36" w:rsidRPr="0044196C">
        <w:rPr>
          <w:rFonts w:cs="Times New Roman"/>
          <w:color w:val="000000" w:themeColor="text1"/>
        </w:rPr>
        <w:t>т</w:t>
      </w:r>
      <w:r w:rsidR="00500880" w:rsidRPr="0044196C">
        <w:rPr>
          <w:rFonts w:cs="Times New Roman"/>
          <w:color w:val="000000" w:themeColor="text1"/>
        </w:rPr>
        <w:t xml:space="preserve">ствии с общими принципами, отраженными </w:t>
      </w:r>
      <w:r w:rsidR="00BA5A36" w:rsidRPr="0044196C">
        <w:rPr>
          <w:rFonts w:cs="Times New Roman"/>
          <w:color w:val="000000" w:themeColor="text1"/>
        </w:rPr>
        <w:t xml:space="preserve">в Рекомендациях по лечению АГ у детей и подростков [], то есть дот уровня ниже 90-й перцентили. Вместе с тем, не исключается попытка более строгого контроля АД, особенно при выраженной протеинурии, при обязательном условии тщательного контроля переносимости. </w:t>
      </w:r>
    </w:p>
    <w:p w:rsidR="00BE7608" w:rsidRPr="0044196C" w:rsidRDefault="00BE7608" w:rsidP="00BE7608">
      <w:pPr>
        <w:pStyle w:val="a0"/>
        <w:rPr>
          <w:color w:val="000000" w:themeColor="text1"/>
        </w:rPr>
      </w:pPr>
      <w:bookmarkStart w:id="89" w:name="_Toc279732237"/>
      <w:r w:rsidRPr="0044196C">
        <w:rPr>
          <w:color w:val="000000" w:themeColor="text1"/>
        </w:rPr>
        <w:t xml:space="preserve">Тактика снижения АД у больных пожилого и старческого возраста должна быть максимально адаптирована к возрастным особенностям, состоянию сердечно-сосудистой системы, учитывать наличие сопутствующих заболеваний. Лечение следует начинать с небольших доз с постепенным их увеличением под тщательным контролем, учитывая очень высокий риск водно-электролитных нарушений, острого </w:t>
      </w:r>
      <w:r w:rsidR="00CD65B1" w:rsidRPr="0044196C">
        <w:rPr>
          <w:color w:val="000000" w:themeColor="text1"/>
        </w:rPr>
        <w:t>нарушения</w:t>
      </w:r>
      <w:r w:rsidRPr="0044196C">
        <w:rPr>
          <w:color w:val="000000" w:themeColor="text1"/>
        </w:rPr>
        <w:t xml:space="preserve"> функции почек, ортостатической гипотонии, нежелательных лекарственных взаимодействий (НГ).</w:t>
      </w:r>
      <w:bookmarkEnd w:id="89"/>
    </w:p>
    <w:p w:rsidR="00B91187" w:rsidRPr="0044196C" w:rsidRDefault="00BA5A36" w:rsidP="00D122F4">
      <w:pPr>
        <w:tabs>
          <w:tab w:val="left" w:pos="3573"/>
        </w:tabs>
        <w:rPr>
          <w:color w:val="000000" w:themeColor="text1"/>
        </w:rPr>
      </w:pPr>
      <w:r w:rsidRPr="0044196C">
        <w:rPr>
          <w:color w:val="000000" w:themeColor="text1"/>
        </w:rPr>
        <w:t xml:space="preserve">Контроль АД у пожилых связан со значительными трудностями из-за нестабильности АД, нарушения проходимости коронарных и церебральных артерий, повышения риска побочных эффектов антигипертензивных средств в условиях полипрагмазии и полиорганной недостаточности. Осложнения, </w:t>
      </w:r>
      <w:r w:rsidR="00785A4B" w:rsidRPr="0044196C">
        <w:rPr>
          <w:color w:val="000000" w:themeColor="text1"/>
        </w:rPr>
        <w:t xml:space="preserve">обусловленные с </w:t>
      </w:r>
      <w:r w:rsidRPr="0044196C">
        <w:rPr>
          <w:color w:val="000000" w:themeColor="text1"/>
        </w:rPr>
        <w:lastRenderedPageBreak/>
        <w:t>эпизодами гипотонии</w:t>
      </w:r>
      <w:r w:rsidR="00785A4B" w:rsidRPr="0044196C">
        <w:rPr>
          <w:color w:val="000000" w:themeColor="text1"/>
        </w:rPr>
        <w:t xml:space="preserve"> на фоне антигипертензивной терапии</w:t>
      </w:r>
      <w:r w:rsidR="00FE5978" w:rsidRPr="0044196C">
        <w:rPr>
          <w:color w:val="000000" w:themeColor="text1"/>
        </w:rPr>
        <w:t>,</w:t>
      </w:r>
      <w:r w:rsidRPr="0044196C">
        <w:rPr>
          <w:color w:val="000000" w:themeColor="text1"/>
        </w:rPr>
        <w:t xml:space="preserve"> могут оказать пагубное влияние на </w:t>
      </w:r>
      <w:r w:rsidR="00785A4B" w:rsidRPr="0044196C">
        <w:rPr>
          <w:color w:val="000000" w:themeColor="text1"/>
        </w:rPr>
        <w:t>прогноз, перевешивающее благоприятные эффекты достижения целевого АД.</w:t>
      </w:r>
    </w:p>
    <w:p w:rsidR="00785E1C" w:rsidRPr="0044196C" w:rsidRDefault="00785E1C" w:rsidP="00D122F4">
      <w:pPr>
        <w:tabs>
          <w:tab w:val="left" w:pos="3573"/>
        </w:tabs>
        <w:rPr>
          <w:color w:val="000000" w:themeColor="text1"/>
        </w:rPr>
      </w:pPr>
      <w:r w:rsidRPr="0044196C">
        <w:rPr>
          <w:color w:val="000000" w:themeColor="text1"/>
        </w:rPr>
        <w:t xml:space="preserve">Авторы рекомендаций, учитывая ограниченный объем и противоречивые результаты РКИ, касающихся контроля АД у пожилых пациентов с ХБП, не считают целесообразным определять особые значения целевого АД у пожилых. Однако подчеркивают важность </w:t>
      </w:r>
      <w:r w:rsidR="003B64D4" w:rsidRPr="0044196C">
        <w:rPr>
          <w:color w:val="000000" w:themeColor="text1"/>
        </w:rPr>
        <w:t xml:space="preserve">максимальной индивидуализации лечения, </w:t>
      </w:r>
      <w:r w:rsidRPr="0044196C">
        <w:rPr>
          <w:color w:val="000000" w:themeColor="text1"/>
        </w:rPr>
        <w:t xml:space="preserve">более тщательного контроля в этой возрастной группе за переносимостью </w:t>
      </w:r>
      <w:r w:rsidR="003B64D4" w:rsidRPr="0044196C">
        <w:rPr>
          <w:color w:val="000000" w:themeColor="text1"/>
        </w:rPr>
        <w:t>терапии</w:t>
      </w:r>
      <w:r w:rsidRPr="0044196C">
        <w:rPr>
          <w:color w:val="000000" w:themeColor="text1"/>
        </w:rPr>
        <w:t xml:space="preserve">и необходимость регулярного проведения СМАД, измерения АД в ортостатической пробе для исключения склонности к эпизодам ночной и постуральной гипотонии. </w:t>
      </w:r>
    </w:p>
    <w:p w:rsidR="003B64D4" w:rsidRPr="0044196C" w:rsidRDefault="00785E1C" w:rsidP="00D122F4">
      <w:pPr>
        <w:tabs>
          <w:tab w:val="left" w:pos="3573"/>
        </w:tabs>
        <w:rPr>
          <w:rFonts w:cs="Times New Roman"/>
          <w:color w:val="000000" w:themeColor="text1"/>
        </w:rPr>
      </w:pPr>
      <w:r w:rsidRPr="0044196C">
        <w:rPr>
          <w:rFonts w:cs="Times New Roman"/>
          <w:color w:val="000000" w:themeColor="text1"/>
        </w:rPr>
        <w:t xml:space="preserve">У большинства пожилых пациентов следует стремиться к поддержанию САД в пределах 120-139 мм рт.ст. </w:t>
      </w:r>
      <w:r w:rsidR="008B2652" w:rsidRPr="0044196C">
        <w:rPr>
          <w:rFonts w:cs="Times New Roman"/>
          <w:color w:val="000000" w:themeColor="text1"/>
        </w:rPr>
        <w:t xml:space="preserve">У пожилых больных со стойким повышением САД до уровня ≥160 мм рт.ст. рекомендуется поддерживать САД в пределах </w:t>
      </w:r>
      <w:r w:rsidR="003B64D4" w:rsidRPr="0044196C">
        <w:rPr>
          <w:rFonts w:cs="Times New Roman"/>
          <w:color w:val="000000" w:themeColor="text1"/>
        </w:rPr>
        <w:t xml:space="preserve">140-150 мм рт.ст. </w:t>
      </w:r>
    </w:p>
    <w:p w:rsidR="00785A4B" w:rsidRPr="0044196C" w:rsidRDefault="003B64D4" w:rsidP="00D122F4">
      <w:pPr>
        <w:tabs>
          <w:tab w:val="left" w:pos="3573"/>
        </w:tabs>
        <w:rPr>
          <w:rFonts w:cs="Times New Roman"/>
          <w:color w:val="000000" w:themeColor="text1"/>
        </w:rPr>
      </w:pPr>
      <w:r w:rsidRPr="0044196C">
        <w:rPr>
          <w:rFonts w:cs="Times New Roman"/>
          <w:color w:val="000000" w:themeColor="text1"/>
        </w:rPr>
        <w:t>П</w:t>
      </w:r>
      <w:r w:rsidR="008B2652" w:rsidRPr="0044196C">
        <w:rPr>
          <w:rFonts w:cs="Times New Roman"/>
          <w:color w:val="000000" w:themeColor="text1"/>
        </w:rPr>
        <w:t xml:space="preserve">ри наличии выраженной протеинурии может быть предпринята попытка </w:t>
      </w:r>
      <w:r w:rsidRPr="0044196C">
        <w:rPr>
          <w:rFonts w:cs="Times New Roman"/>
          <w:color w:val="000000" w:themeColor="text1"/>
        </w:rPr>
        <w:t xml:space="preserve">постепенного (в течение нескольких месяцев с титрованием доз препаратов) </w:t>
      </w:r>
      <w:r w:rsidR="008B2652" w:rsidRPr="0044196C">
        <w:rPr>
          <w:rFonts w:cs="Times New Roman"/>
          <w:color w:val="000000" w:themeColor="text1"/>
        </w:rPr>
        <w:t xml:space="preserve">снижения САД до уровня 120-129 мм рт.ст. </w:t>
      </w:r>
      <w:r w:rsidRPr="0044196C">
        <w:rPr>
          <w:rFonts w:cs="Times New Roman"/>
          <w:color w:val="000000" w:themeColor="text1"/>
        </w:rPr>
        <w:t xml:space="preserve">с тщательным контролем безопасности и </w:t>
      </w:r>
      <w:r w:rsidR="008B2652" w:rsidRPr="0044196C">
        <w:rPr>
          <w:rFonts w:cs="Times New Roman"/>
          <w:color w:val="000000" w:themeColor="text1"/>
        </w:rPr>
        <w:t xml:space="preserve">при </w:t>
      </w:r>
      <w:r w:rsidRPr="0044196C">
        <w:rPr>
          <w:rFonts w:cs="Times New Roman"/>
          <w:color w:val="000000" w:themeColor="text1"/>
        </w:rPr>
        <w:t xml:space="preserve">условии </w:t>
      </w:r>
      <w:r w:rsidR="008B2652" w:rsidRPr="0044196C">
        <w:rPr>
          <w:rFonts w:cs="Times New Roman"/>
          <w:color w:val="000000" w:themeColor="text1"/>
        </w:rPr>
        <w:t xml:space="preserve">хорошей переносимости. Диастолическое АД рекомендуется во всех случаях снижать до уровня ниже 90 мм рт.ст., кроме больных сахарным диабетом, у которых рекомендуется поддерживать ДАД на уровне ниже 85 мм рт.ст. </w:t>
      </w:r>
    </w:p>
    <w:p w:rsidR="0010693D" w:rsidRPr="0044196C" w:rsidRDefault="0010693D" w:rsidP="00622DC7">
      <w:pPr>
        <w:pStyle w:val="10"/>
        <w:numPr>
          <w:ilvl w:val="0"/>
          <w:numId w:val="3"/>
        </w:numPr>
        <w:rPr>
          <w:color w:val="000000" w:themeColor="text1"/>
        </w:rPr>
      </w:pPr>
      <w:bookmarkStart w:id="90" w:name="_Toc279732238"/>
      <w:bookmarkStart w:id="91" w:name="_Toc279831048"/>
      <w:r w:rsidRPr="0044196C">
        <w:rPr>
          <w:color w:val="000000" w:themeColor="text1"/>
        </w:rPr>
        <w:t>Заключение</w:t>
      </w:r>
      <w:bookmarkEnd w:id="90"/>
      <w:bookmarkEnd w:id="91"/>
    </w:p>
    <w:p w:rsidR="00323CAC" w:rsidRPr="0044196C" w:rsidRDefault="003B64D4" w:rsidP="003B64D4">
      <w:pPr>
        <w:tabs>
          <w:tab w:val="left" w:pos="3573"/>
        </w:tabs>
        <w:rPr>
          <w:rFonts w:cs="Times New Roman"/>
          <w:color w:val="000000" w:themeColor="text1"/>
        </w:rPr>
      </w:pPr>
      <w:r w:rsidRPr="0044196C">
        <w:rPr>
          <w:rFonts w:cs="Times New Roman"/>
          <w:color w:val="000000" w:themeColor="text1"/>
        </w:rPr>
        <w:t xml:space="preserve">Таким образом, контроль нефрогенной АГ занимает по-прежнему важное место в арсенале нефро/кардиопротективной терапии. В то же время на сегодня представляется необходимым уделять пристальное внимание вопросам переносимости и безопасности снижения АД при ХБП. Накопленный опыт показывает необходимость индивидуализации терапии – как в отношении определения целевого АД, так и препаратов первого выбора. </w:t>
      </w:r>
    </w:p>
    <w:p w:rsidR="003B64D4" w:rsidRPr="0044196C" w:rsidRDefault="003B64D4" w:rsidP="003B64D4">
      <w:pPr>
        <w:tabs>
          <w:tab w:val="left" w:pos="3573"/>
        </w:tabs>
        <w:rPr>
          <w:rFonts w:cs="Times New Roman"/>
          <w:color w:val="000000" w:themeColor="text1"/>
        </w:rPr>
      </w:pPr>
      <w:r w:rsidRPr="0044196C">
        <w:rPr>
          <w:rFonts w:cs="Times New Roman"/>
          <w:color w:val="000000" w:themeColor="text1"/>
        </w:rPr>
        <w:t>На сегодняшний день большая часть рекомендаций по лечению нефрогенной АГ имеет низкую степень доказательности, что отражает не только малую базу РКИ, но и значительную неоднородность пациентов с ХБП по спектру факторов, влияющих на почечный и общий прогноз.</w:t>
      </w:r>
    </w:p>
    <w:p w:rsidR="00B91187" w:rsidRPr="0044196C" w:rsidRDefault="00323CAC" w:rsidP="00323CAC">
      <w:pPr>
        <w:tabs>
          <w:tab w:val="left" w:pos="3573"/>
        </w:tabs>
        <w:rPr>
          <w:rFonts w:cs="Times New Roman"/>
          <w:color w:val="000000" w:themeColor="text1"/>
        </w:rPr>
      </w:pPr>
      <w:r w:rsidRPr="0044196C">
        <w:rPr>
          <w:rFonts w:cs="Times New Roman"/>
          <w:color w:val="000000" w:themeColor="text1"/>
        </w:rPr>
        <w:t>Проблема безопасного преодоления резистентной АГ, отмечающейся более чем у половины пациентов с ХБП, ждет своего разрешения.</w:t>
      </w:r>
      <w:r w:rsidR="00D77736" w:rsidRPr="0044196C">
        <w:rPr>
          <w:rFonts w:cs="Times New Roman"/>
          <w:color w:val="000000" w:themeColor="text1"/>
        </w:rPr>
        <w:t xml:space="preserve"> </w:t>
      </w:r>
      <w:r w:rsidR="003B64D4" w:rsidRPr="0044196C">
        <w:rPr>
          <w:rFonts w:cs="Times New Roman"/>
          <w:color w:val="000000" w:themeColor="text1"/>
        </w:rPr>
        <w:t>Необходимы новые РКИ, обсервационные исследования, посвященные разработке критериев для персонифицирова</w:t>
      </w:r>
      <w:r w:rsidRPr="0044196C">
        <w:rPr>
          <w:rFonts w:cs="Times New Roman"/>
          <w:color w:val="000000" w:themeColor="text1"/>
        </w:rPr>
        <w:t xml:space="preserve">нного контроля нефрогенной АГ. </w:t>
      </w:r>
    </w:p>
    <w:p w:rsidR="00E77FAA" w:rsidRPr="0044196C" w:rsidRDefault="00E77FAA" w:rsidP="00323CAC">
      <w:pPr>
        <w:tabs>
          <w:tab w:val="left" w:pos="3573"/>
        </w:tabs>
        <w:ind w:firstLine="0"/>
        <w:rPr>
          <w:rFonts w:cs="Times New Roman"/>
          <w:color w:val="000000" w:themeColor="text1"/>
        </w:rPr>
      </w:pPr>
    </w:p>
    <w:p w:rsidR="00E77FAA" w:rsidRPr="0044196C" w:rsidRDefault="00E77FAA" w:rsidP="00960243">
      <w:pPr>
        <w:pStyle w:val="10"/>
        <w:jc w:val="both"/>
        <w:rPr>
          <w:color w:val="000000" w:themeColor="text1"/>
        </w:rPr>
      </w:pPr>
      <w:r w:rsidRPr="0044196C">
        <w:rPr>
          <w:color w:val="000000" w:themeColor="text1"/>
        </w:rPr>
        <w:br w:type="page"/>
      </w:r>
      <w:bookmarkStart w:id="92" w:name="_Toc279732239"/>
      <w:bookmarkStart w:id="93" w:name="_Toc279831049"/>
      <w:r w:rsidR="00B454A2" w:rsidRPr="0044196C">
        <w:rPr>
          <w:color w:val="000000" w:themeColor="text1"/>
        </w:rPr>
        <w:lastRenderedPageBreak/>
        <w:t>Список литературы</w:t>
      </w:r>
      <w:bookmarkEnd w:id="92"/>
      <w:bookmarkEnd w:id="93"/>
    </w:p>
    <w:p w:rsidR="00EA3B99" w:rsidRPr="0044196C" w:rsidRDefault="009D7C63" w:rsidP="00960243">
      <w:pPr>
        <w:pStyle w:val="af9"/>
        <w:jc w:val="both"/>
        <w:divId w:val="267665709"/>
        <w:rPr>
          <w:rFonts w:eastAsiaTheme="minorEastAsia"/>
          <w:noProof/>
          <w:color w:val="000000" w:themeColor="text1"/>
        </w:rPr>
      </w:pPr>
      <w:r w:rsidRPr="0044196C">
        <w:rPr>
          <w:color w:val="000000" w:themeColor="text1"/>
        </w:rPr>
        <w:fldChar w:fldCharType="begin" w:fldLock="1"/>
      </w:r>
      <w:r w:rsidR="00F931CD" w:rsidRPr="0044196C">
        <w:rPr>
          <w:color w:val="000000" w:themeColor="text1"/>
        </w:rPr>
        <w:instrText xml:space="preserve">ADDIN Mendeley Bibliography CSL_BIBLIOGRAPHY </w:instrText>
      </w:r>
      <w:r w:rsidRPr="0044196C">
        <w:rPr>
          <w:color w:val="000000" w:themeColor="text1"/>
        </w:rPr>
        <w:fldChar w:fldCharType="separate"/>
      </w:r>
      <w:r w:rsidR="00EA3B99" w:rsidRPr="0044196C">
        <w:rPr>
          <w:noProof/>
          <w:color w:val="000000" w:themeColor="text1"/>
        </w:rPr>
        <w:t xml:space="preserve">1. Mann J.F.E. и др. </w:t>
      </w:r>
      <w:r w:rsidR="00EA3B99" w:rsidRPr="0044196C">
        <w:rPr>
          <w:noProof/>
          <w:color w:val="000000" w:themeColor="text1"/>
          <w:lang w:val="en-US"/>
        </w:rPr>
        <w:t xml:space="preserve">Renal outcomes with telmisartan, ramipril, or both, in people at high vascular risk (the ONTARGET study): a multicentre, randomised, double-blind, controlled trial. // Lancet. </w:t>
      </w:r>
      <w:r w:rsidR="00EA3B99" w:rsidRPr="0044196C">
        <w:rPr>
          <w:noProof/>
          <w:color w:val="000000" w:themeColor="text1"/>
        </w:rPr>
        <w:t>2008. Т. 372. № 9638. С. 547–53.</w:t>
      </w:r>
    </w:p>
    <w:p w:rsidR="00EA3B99" w:rsidRPr="0044196C" w:rsidRDefault="00EA3B99" w:rsidP="00960243">
      <w:pPr>
        <w:pStyle w:val="af9"/>
        <w:jc w:val="both"/>
        <w:divId w:val="267665709"/>
        <w:rPr>
          <w:noProof/>
          <w:color w:val="000000" w:themeColor="text1"/>
        </w:rPr>
      </w:pPr>
      <w:r w:rsidRPr="0044196C">
        <w:rPr>
          <w:noProof/>
          <w:color w:val="000000" w:themeColor="text1"/>
        </w:rPr>
        <w:t>2. Под ред. С.А. Бойцова и А.Г. Чучалина. Диспансерное наблюдение больных хроническими неинфекционными заболеваниями и пациентов с высоким риском их развития. Методические рекомендации. М.: , 2014.</w:t>
      </w:r>
    </w:p>
    <w:p w:rsidR="00EA3B99" w:rsidRPr="0044196C" w:rsidRDefault="00EA3B99" w:rsidP="00960243">
      <w:pPr>
        <w:pStyle w:val="af9"/>
        <w:jc w:val="both"/>
        <w:divId w:val="267665709"/>
        <w:rPr>
          <w:noProof/>
          <w:color w:val="000000" w:themeColor="text1"/>
        </w:rPr>
      </w:pPr>
      <w:r w:rsidRPr="0044196C">
        <w:rPr>
          <w:noProof/>
          <w:color w:val="000000" w:themeColor="text1"/>
        </w:rPr>
        <w:t>3. Нагайцева С.С. и др. Исследование альбуминурии как маркера хронической болезни почек у взрослого трудоспособного населения // Альманах клинической медицины. 2014. № 30. С. 37–45.</w:t>
      </w:r>
    </w:p>
    <w:p w:rsidR="00EA3B99" w:rsidRPr="0044196C" w:rsidRDefault="00EA3B99" w:rsidP="00960243">
      <w:pPr>
        <w:pStyle w:val="af9"/>
        <w:jc w:val="both"/>
        <w:divId w:val="267665709"/>
        <w:rPr>
          <w:noProof/>
          <w:color w:val="000000" w:themeColor="text1"/>
        </w:rPr>
      </w:pPr>
      <w:r w:rsidRPr="0044196C">
        <w:rPr>
          <w:noProof/>
          <w:color w:val="000000" w:themeColor="text1"/>
        </w:rPr>
        <w:t>4. Национальные рекомендации. Хроническая болезнь почек: основные принципы скрининга, диагностики, профилактики и подходы к лечению. под ред. А.В. Смирнова // Нефрология. 2012. Т. 16. № 1. С. 15–89.</w:t>
      </w:r>
    </w:p>
    <w:p w:rsidR="00EA3B99" w:rsidRPr="0044196C" w:rsidRDefault="00EA3B99" w:rsidP="00960243">
      <w:pPr>
        <w:pStyle w:val="af9"/>
        <w:jc w:val="both"/>
        <w:divId w:val="267665709"/>
        <w:rPr>
          <w:noProof/>
          <w:color w:val="000000" w:themeColor="text1"/>
        </w:rPr>
      </w:pPr>
      <w:r w:rsidRPr="0044196C">
        <w:rPr>
          <w:noProof/>
          <w:color w:val="000000" w:themeColor="text1"/>
        </w:rPr>
        <w:t>5. Национальные рекомендации. Сердечно-сосудистый риск и хроническая болезнь почек: стратегии кардионефропротекции. под ред. В.С. Моисеева и Н.А.Мухина // Клиническая нефрология. 2014. № 2. С. 4–29.</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rPr>
        <w:t xml:space="preserve">6. Чазова И.Е. и др. Диагностика и лечение артериальной гипертензии. (Рекомендации Российского медицинского общества по артериальной гипертонии и Всероссийского научного общества кардиологов) // Системные гипертензии. </w:t>
      </w:r>
      <w:r w:rsidRPr="0044196C">
        <w:rPr>
          <w:noProof/>
          <w:color w:val="000000" w:themeColor="text1"/>
          <w:lang w:val="en-US"/>
        </w:rPr>
        <w:t xml:space="preserve">2010. </w:t>
      </w:r>
      <w:r w:rsidRPr="0044196C">
        <w:rPr>
          <w:noProof/>
          <w:color w:val="000000" w:themeColor="text1"/>
        </w:rPr>
        <w:t>Т</w:t>
      </w:r>
      <w:r w:rsidRPr="0044196C">
        <w:rPr>
          <w:noProof/>
          <w:color w:val="000000" w:themeColor="text1"/>
          <w:lang w:val="en-US"/>
        </w:rPr>
        <w:t xml:space="preserve">. 3. </w:t>
      </w:r>
      <w:r w:rsidRPr="0044196C">
        <w:rPr>
          <w:noProof/>
          <w:color w:val="000000" w:themeColor="text1"/>
        </w:rPr>
        <w:t>С</w:t>
      </w:r>
      <w:r w:rsidRPr="0044196C">
        <w:rPr>
          <w:noProof/>
          <w:color w:val="000000" w:themeColor="text1"/>
          <w:lang w:val="en-US"/>
        </w:rPr>
        <w:t>. 5–26.</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7. Appel L.J.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Intensive blood-pressure control in hypertensive chronic kidney disease. // N. Engl. J. Med. 2010. </w:t>
      </w:r>
      <w:r w:rsidRPr="0044196C">
        <w:rPr>
          <w:noProof/>
          <w:color w:val="000000" w:themeColor="text1"/>
        </w:rPr>
        <w:t>Т</w:t>
      </w:r>
      <w:r w:rsidRPr="0044196C">
        <w:rPr>
          <w:noProof/>
          <w:color w:val="000000" w:themeColor="text1"/>
          <w:lang w:val="en-US"/>
        </w:rPr>
        <w:t xml:space="preserve">. 363. № 10. </w:t>
      </w:r>
      <w:r w:rsidRPr="0044196C">
        <w:rPr>
          <w:noProof/>
          <w:color w:val="000000" w:themeColor="text1"/>
        </w:rPr>
        <w:t>С</w:t>
      </w:r>
      <w:r w:rsidRPr="0044196C">
        <w:rPr>
          <w:noProof/>
          <w:color w:val="000000" w:themeColor="text1"/>
          <w:lang w:val="en-US"/>
        </w:rPr>
        <w:t>. 918–29.</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8. Arulkumaran N.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Pulse pressure and progression of chronic kidney disease. // J. Nephrol. 2010. </w:t>
      </w:r>
      <w:r w:rsidRPr="0044196C">
        <w:rPr>
          <w:noProof/>
          <w:color w:val="000000" w:themeColor="text1"/>
        </w:rPr>
        <w:t>Т</w:t>
      </w:r>
      <w:r w:rsidRPr="0044196C">
        <w:rPr>
          <w:noProof/>
          <w:color w:val="000000" w:themeColor="text1"/>
          <w:lang w:val="en-US"/>
        </w:rPr>
        <w:t xml:space="preserve">. 23. № 2. </w:t>
      </w:r>
      <w:r w:rsidRPr="0044196C">
        <w:rPr>
          <w:noProof/>
          <w:color w:val="000000" w:themeColor="text1"/>
        </w:rPr>
        <w:t>С</w:t>
      </w:r>
      <w:r w:rsidRPr="0044196C">
        <w:rPr>
          <w:noProof/>
          <w:color w:val="000000" w:themeColor="text1"/>
          <w:lang w:val="en-US"/>
        </w:rPr>
        <w:t>. 189–93.</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9. Bakris G.L.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Treatment of microalbuminuria in hypertensive subjects with elevated cardiovascular risk: results of the IMPROVE trial. // Kidney Int. 2007. </w:t>
      </w:r>
      <w:r w:rsidRPr="0044196C">
        <w:rPr>
          <w:noProof/>
          <w:color w:val="000000" w:themeColor="text1"/>
        </w:rPr>
        <w:t>Т</w:t>
      </w:r>
      <w:r w:rsidRPr="0044196C">
        <w:rPr>
          <w:noProof/>
          <w:color w:val="000000" w:themeColor="text1"/>
          <w:lang w:val="en-US"/>
        </w:rPr>
        <w:t xml:space="preserve">. 72. № 7. </w:t>
      </w:r>
      <w:r w:rsidRPr="0044196C">
        <w:rPr>
          <w:noProof/>
          <w:color w:val="000000" w:themeColor="text1"/>
        </w:rPr>
        <w:t>С</w:t>
      </w:r>
      <w:r w:rsidRPr="0044196C">
        <w:rPr>
          <w:noProof/>
          <w:color w:val="000000" w:themeColor="text1"/>
          <w:lang w:val="en-US"/>
        </w:rPr>
        <w:t>. 879–85.</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10. Bolignano D.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Aldosterone antagonists for preventing the progression of chronic kidney disease. // Cochrane database Syst. Rev. 2014. </w:t>
      </w:r>
      <w:r w:rsidRPr="0044196C">
        <w:rPr>
          <w:noProof/>
          <w:color w:val="000000" w:themeColor="text1"/>
        </w:rPr>
        <w:t>Т</w:t>
      </w:r>
      <w:r w:rsidRPr="0044196C">
        <w:rPr>
          <w:noProof/>
          <w:color w:val="000000" w:themeColor="text1"/>
          <w:lang w:val="en-US"/>
        </w:rPr>
        <w:t xml:space="preserve">. 4. </w:t>
      </w:r>
      <w:r w:rsidRPr="0044196C">
        <w:rPr>
          <w:noProof/>
          <w:color w:val="000000" w:themeColor="text1"/>
        </w:rPr>
        <w:t>С</w:t>
      </w:r>
      <w:r w:rsidRPr="0044196C">
        <w:rPr>
          <w:noProof/>
          <w:color w:val="000000" w:themeColor="text1"/>
          <w:lang w:val="en-US"/>
        </w:rPr>
        <w:t>. CD007004.</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11. Bos H.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Role of patient factors in therapy resistance to antiproteinuric intervention in nondiabetic and diabetic nephropathy. // Kidney Int. Suppl. 2000. </w:t>
      </w:r>
      <w:r w:rsidRPr="0044196C">
        <w:rPr>
          <w:noProof/>
          <w:color w:val="000000" w:themeColor="text1"/>
        </w:rPr>
        <w:t>Т</w:t>
      </w:r>
      <w:r w:rsidRPr="0044196C">
        <w:rPr>
          <w:noProof/>
          <w:color w:val="000000" w:themeColor="text1"/>
          <w:lang w:val="en-US"/>
        </w:rPr>
        <w:t xml:space="preserve">. 75. </w:t>
      </w:r>
      <w:r w:rsidRPr="0044196C">
        <w:rPr>
          <w:noProof/>
          <w:color w:val="000000" w:themeColor="text1"/>
        </w:rPr>
        <w:t>С</w:t>
      </w:r>
      <w:r w:rsidRPr="0044196C">
        <w:rPr>
          <w:noProof/>
          <w:color w:val="000000" w:themeColor="text1"/>
          <w:lang w:val="en-US"/>
        </w:rPr>
        <w:t>. S32–7.</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12. Brenner B.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Effects of losartan on renal and cardiovascular outcomes in patients with type 2 diabetes and nephropathy // New Engl. J. …. 2001. </w:t>
      </w:r>
      <w:r w:rsidRPr="0044196C">
        <w:rPr>
          <w:noProof/>
          <w:color w:val="000000" w:themeColor="text1"/>
        </w:rPr>
        <w:t>Т</w:t>
      </w:r>
      <w:r w:rsidRPr="0044196C">
        <w:rPr>
          <w:noProof/>
          <w:color w:val="000000" w:themeColor="text1"/>
          <w:lang w:val="en-US"/>
        </w:rPr>
        <w:t xml:space="preserve">. 345. </w:t>
      </w:r>
      <w:r w:rsidRPr="0044196C">
        <w:rPr>
          <w:noProof/>
          <w:color w:val="000000" w:themeColor="text1"/>
        </w:rPr>
        <w:t>С</w:t>
      </w:r>
      <w:r w:rsidRPr="0044196C">
        <w:rPr>
          <w:noProof/>
          <w:color w:val="000000" w:themeColor="text1"/>
          <w:lang w:val="en-US"/>
        </w:rPr>
        <w:t>. 861–869.</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13. Chobanian A., Bakris G., Black H. The seventh report of the joint national committee on prevention, detection, evaluation, and treatment of high blood pressure: the JNC 7 report // Jama. 2003. </w:t>
      </w:r>
      <w:r w:rsidRPr="0044196C">
        <w:rPr>
          <w:noProof/>
          <w:color w:val="000000" w:themeColor="text1"/>
        </w:rPr>
        <w:t>Т</w:t>
      </w:r>
      <w:r w:rsidRPr="0044196C">
        <w:rPr>
          <w:noProof/>
          <w:color w:val="000000" w:themeColor="text1"/>
          <w:lang w:val="en-US"/>
        </w:rPr>
        <w:t xml:space="preserve">. 289. № 19. </w:t>
      </w:r>
      <w:r w:rsidRPr="0044196C">
        <w:rPr>
          <w:noProof/>
          <w:color w:val="000000" w:themeColor="text1"/>
        </w:rPr>
        <w:t>С</w:t>
      </w:r>
      <w:r w:rsidRPr="0044196C">
        <w:rPr>
          <w:noProof/>
          <w:color w:val="000000" w:themeColor="text1"/>
          <w:lang w:val="en-US"/>
        </w:rPr>
        <w:t>. 2560–2573.</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14. Clark W.F.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Urine volume and change in estimated GFR in a community-based cohort study. // Clin. J. Am. Soc. Nephrol. 2011. </w:t>
      </w:r>
      <w:r w:rsidRPr="0044196C">
        <w:rPr>
          <w:noProof/>
          <w:color w:val="000000" w:themeColor="text1"/>
        </w:rPr>
        <w:t>Т</w:t>
      </w:r>
      <w:r w:rsidRPr="0044196C">
        <w:rPr>
          <w:noProof/>
          <w:color w:val="000000" w:themeColor="text1"/>
          <w:lang w:val="en-US"/>
        </w:rPr>
        <w:t xml:space="preserve">. 6. № 11. </w:t>
      </w:r>
      <w:r w:rsidRPr="0044196C">
        <w:rPr>
          <w:noProof/>
          <w:color w:val="000000" w:themeColor="text1"/>
        </w:rPr>
        <w:t>С</w:t>
      </w:r>
      <w:r w:rsidRPr="0044196C">
        <w:rPr>
          <w:noProof/>
          <w:color w:val="000000" w:themeColor="text1"/>
          <w:lang w:val="en-US"/>
        </w:rPr>
        <w:t>. 2634–41.</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lastRenderedPageBreak/>
        <w:t xml:space="preserve">15. Drawz P.E., Rosenberg M.E. Slowing progression of chronic kidney disease. // Kidney Int. Suppl. 2013. </w:t>
      </w:r>
      <w:r w:rsidRPr="0044196C">
        <w:rPr>
          <w:noProof/>
          <w:color w:val="000000" w:themeColor="text1"/>
        </w:rPr>
        <w:t>Т</w:t>
      </w:r>
      <w:r w:rsidRPr="0044196C">
        <w:rPr>
          <w:noProof/>
          <w:color w:val="000000" w:themeColor="text1"/>
          <w:lang w:val="en-US"/>
        </w:rPr>
        <w:t xml:space="preserve">. 3. № 4. </w:t>
      </w:r>
      <w:r w:rsidRPr="0044196C">
        <w:rPr>
          <w:noProof/>
          <w:color w:val="000000" w:themeColor="text1"/>
        </w:rPr>
        <w:t>С</w:t>
      </w:r>
      <w:r w:rsidRPr="0044196C">
        <w:rPr>
          <w:noProof/>
          <w:color w:val="000000" w:themeColor="text1"/>
          <w:lang w:val="en-US"/>
        </w:rPr>
        <w:t>. 372–376.</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16. European Society of Hypertension–European Society of Cardiology Guidelines Committee. 2003 European Society of Hypertension-European Society of Cardiology guidelines for the management of arterial hypertension. // J. Hypertens. 2003. </w:t>
      </w:r>
      <w:r w:rsidRPr="0044196C">
        <w:rPr>
          <w:noProof/>
          <w:color w:val="000000" w:themeColor="text1"/>
        </w:rPr>
        <w:t>Т</w:t>
      </w:r>
      <w:r w:rsidRPr="0044196C">
        <w:rPr>
          <w:noProof/>
          <w:color w:val="000000" w:themeColor="text1"/>
          <w:lang w:val="en-US"/>
        </w:rPr>
        <w:t xml:space="preserve">. 21. № 6. </w:t>
      </w:r>
      <w:r w:rsidRPr="0044196C">
        <w:rPr>
          <w:noProof/>
          <w:color w:val="000000" w:themeColor="text1"/>
        </w:rPr>
        <w:t>С</w:t>
      </w:r>
      <w:r w:rsidRPr="0044196C">
        <w:rPr>
          <w:noProof/>
          <w:color w:val="000000" w:themeColor="text1"/>
          <w:lang w:val="en-US"/>
        </w:rPr>
        <w:t>. 1011–53.</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17. Fine L.G., Norman J.T. Chronic hypoxia as a mechanism of progression of chronic kidney diseases: from hypothesis to novel therapeutics. // Kidney Int. 2008. </w:t>
      </w:r>
      <w:r w:rsidRPr="0044196C">
        <w:rPr>
          <w:noProof/>
          <w:color w:val="000000" w:themeColor="text1"/>
        </w:rPr>
        <w:t>Т</w:t>
      </w:r>
      <w:r w:rsidRPr="0044196C">
        <w:rPr>
          <w:noProof/>
          <w:color w:val="000000" w:themeColor="text1"/>
          <w:lang w:val="en-US"/>
        </w:rPr>
        <w:t xml:space="preserve">. 74. № 7. </w:t>
      </w:r>
      <w:r w:rsidRPr="0044196C">
        <w:rPr>
          <w:noProof/>
          <w:color w:val="000000" w:themeColor="text1"/>
        </w:rPr>
        <w:t>С</w:t>
      </w:r>
      <w:r w:rsidRPr="0044196C">
        <w:rPr>
          <w:noProof/>
          <w:color w:val="000000" w:themeColor="text1"/>
          <w:lang w:val="en-US"/>
        </w:rPr>
        <w:t>. 867–72.</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18. Fouque D.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Nutrition and chronic kidney disease // Kidney Int. 2011.</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19. Fox C.S.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Associations of kidney disease measures with mortality and end-stage renal disease in individuals with and without diabetes: a meta-analysis. // Lancet. 2012. </w:t>
      </w:r>
      <w:r w:rsidRPr="0044196C">
        <w:rPr>
          <w:noProof/>
          <w:color w:val="000000" w:themeColor="text1"/>
        </w:rPr>
        <w:t>Т</w:t>
      </w:r>
      <w:r w:rsidRPr="0044196C">
        <w:rPr>
          <w:noProof/>
          <w:color w:val="000000" w:themeColor="text1"/>
          <w:lang w:val="en-US"/>
        </w:rPr>
        <w:t xml:space="preserve">. 380. № 9854. </w:t>
      </w:r>
      <w:r w:rsidRPr="0044196C">
        <w:rPr>
          <w:noProof/>
          <w:color w:val="000000" w:themeColor="text1"/>
        </w:rPr>
        <w:t>С</w:t>
      </w:r>
      <w:r w:rsidRPr="0044196C">
        <w:rPr>
          <w:noProof/>
          <w:color w:val="000000" w:themeColor="text1"/>
          <w:lang w:val="en-US"/>
        </w:rPr>
        <w:t>. 1662–73.</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20. Fried L.F.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Combined angiotensin inhibition for the treatment of diabetic nephropathy. // N. Engl. J. Med. 2013a. </w:t>
      </w:r>
      <w:r w:rsidRPr="0044196C">
        <w:rPr>
          <w:noProof/>
          <w:color w:val="000000" w:themeColor="text1"/>
        </w:rPr>
        <w:t>Т</w:t>
      </w:r>
      <w:r w:rsidRPr="0044196C">
        <w:rPr>
          <w:noProof/>
          <w:color w:val="000000" w:themeColor="text1"/>
          <w:lang w:val="en-US"/>
        </w:rPr>
        <w:t xml:space="preserve">. 369. № 20. </w:t>
      </w:r>
      <w:r w:rsidRPr="0044196C">
        <w:rPr>
          <w:noProof/>
          <w:color w:val="000000" w:themeColor="text1"/>
        </w:rPr>
        <w:t>С</w:t>
      </w:r>
      <w:r w:rsidRPr="0044196C">
        <w:rPr>
          <w:noProof/>
          <w:color w:val="000000" w:themeColor="text1"/>
          <w:lang w:val="en-US"/>
        </w:rPr>
        <w:t>. 1892–903.</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21. Fried L.F.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Combined angiotensin inhibition for the treatment of diabetic nephropathy. // N. Engl. J. Med. 2013b. </w:t>
      </w:r>
      <w:r w:rsidRPr="0044196C">
        <w:rPr>
          <w:noProof/>
          <w:color w:val="000000" w:themeColor="text1"/>
        </w:rPr>
        <w:t>Т</w:t>
      </w:r>
      <w:r w:rsidRPr="0044196C">
        <w:rPr>
          <w:noProof/>
          <w:color w:val="000000" w:themeColor="text1"/>
          <w:lang w:val="en-US"/>
        </w:rPr>
        <w:t xml:space="preserve">. 369. № 20. </w:t>
      </w:r>
      <w:r w:rsidRPr="0044196C">
        <w:rPr>
          <w:noProof/>
          <w:color w:val="000000" w:themeColor="text1"/>
        </w:rPr>
        <w:t>С</w:t>
      </w:r>
      <w:r w:rsidRPr="0044196C">
        <w:rPr>
          <w:noProof/>
          <w:color w:val="000000" w:themeColor="text1"/>
          <w:lang w:val="en-US"/>
        </w:rPr>
        <w:t>. 1892–903.</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22. Garneata L., Mircescu G. Effect of low-protein diet supplemented with keto acids on progression of chronic kidney disease. // J. Ren. Nutr. 2013. </w:t>
      </w:r>
      <w:r w:rsidRPr="0044196C">
        <w:rPr>
          <w:noProof/>
          <w:color w:val="000000" w:themeColor="text1"/>
        </w:rPr>
        <w:t>Т</w:t>
      </w:r>
      <w:r w:rsidRPr="0044196C">
        <w:rPr>
          <w:noProof/>
          <w:color w:val="000000" w:themeColor="text1"/>
          <w:lang w:val="en-US"/>
        </w:rPr>
        <w:t xml:space="preserve">. 23. № 3. </w:t>
      </w:r>
      <w:r w:rsidRPr="0044196C">
        <w:rPr>
          <w:noProof/>
          <w:color w:val="000000" w:themeColor="text1"/>
        </w:rPr>
        <w:t>С</w:t>
      </w:r>
      <w:r w:rsidRPr="0044196C">
        <w:rPr>
          <w:noProof/>
          <w:color w:val="000000" w:themeColor="text1"/>
          <w:lang w:val="en-US"/>
        </w:rPr>
        <w:t>. 210–3.</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23. Gisen T., Gruppo G., Epidemiologici S. Randomised placebo-controlled trial of effect of ramipril on decline in glomerular filtration rate and risk of terminal renal failure in proteinuric , non-diabetic nephropathy // 1997. </w:t>
      </w:r>
      <w:r w:rsidRPr="0044196C">
        <w:rPr>
          <w:noProof/>
          <w:color w:val="000000" w:themeColor="text1"/>
        </w:rPr>
        <w:t>Т</w:t>
      </w:r>
      <w:r w:rsidRPr="0044196C">
        <w:rPr>
          <w:noProof/>
          <w:color w:val="000000" w:themeColor="text1"/>
          <w:lang w:val="en-US"/>
        </w:rPr>
        <w:t xml:space="preserve">. 349. </w:t>
      </w:r>
      <w:r w:rsidRPr="0044196C">
        <w:rPr>
          <w:noProof/>
          <w:color w:val="000000" w:themeColor="text1"/>
        </w:rPr>
        <w:t>С</w:t>
      </w:r>
      <w:r w:rsidRPr="0044196C">
        <w:rPr>
          <w:noProof/>
          <w:color w:val="000000" w:themeColor="text1"/>
          <w:lang w:val="en-US"/>
        </w:rPr>
        <w:t>. 1857–1863.</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24. Hallan S.I.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Age and association of kidney measures with mortality and end-stage renal disease. // JAMA. 2012. </w:t>
      </w:r>
      <w:r w:rsidRPr="0044196C">
        <w:rPr>
          <w:noProof/>
          <w:color w:val="000000" w:themeColor="text1"/>
        </w:rPr>
        <w:t>Т</w:t>
      </w:r>
      <w:r w:rsidRPr="0044196C">
        <w:rPr>
          <w:noProof/>
          <w:color w:val="000000" w:themeColor="text1"/>
          <w:lang w:val="en-US"/>
        </w:rPr>
        <w:t xml:space="preserve">. 308. № 22. </w:t>
      </w:r>
      <w:r w:rsidRPr="0044196C">
        <w:rPr>
          <w:noProof/>
          <w:color w:val="000000" w:themeColor="text1"/>
        </w:rPr>
        <w:t>С</w:t>
      </w:r>
      <w:r w:rsidRPr="0044196C">
        <w:rPr>
          <w:noProof/>
          <w:color w:val="000000" w:themeColor="text1"/>
          <w:lang w:val="en-US"/>
        </w:rPr>
        <w:t>. 2349–60.</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25. Ikizler T.A.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Prevention and treatment of protein energy wasting in chronic kidney disease patients: a consensus statement by the International Society of Renal Nutrition and Metabolism. // Kidney Int. 2013. </w:t>
      </w:r>
      <w:r w:rsidRPr="0044196C">
        <w:rPr>
          <w:noProof/>
          <w:color w:val="000000" w:themeColor="text1"/>
        </w:rPr>
        <w:t>Т</w:t>
      </w:r>
      <w:r w:rsidRPr="0044196C">
        <w:rPr>
          <w:noProof/>
          <w:color w:val="000000" w:themeColor="text1"/>
          <w:lang w:val="en-US"/>
        </w:rPr>
        <w:t xml:space="preserve">. 84. № 6. </w:t>
      </w:r>
      <w:r w:rsidRPr="0044196C">
        <w:rPr>
          <w:noProof/>
          <w:color w:val="000000" w:themeColor="text1"/>
        </w:rPr>
        <w:t>С</w:t>
      </w:r>
      <w:r w:rsidRPr="0044196C">
        <w:rPr>
          <w:noProof/>
          <w:color w:val="000000" w:themeColor="text1"/>
          <w:lang w:val="en-US"/>
        </w:rPr>
        <w:t>. 1096–107.</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26. Jafar T.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Progression of chronic kidney disease: the role of blood pressure control, proteinuria, and angiotensin-converting enzyme inhibition: a patient-level meta-analysis // Ann. Intern. Med. 2003.</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27. James P. a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2014 Evidence-Based Guideline for the Management of High Blood Pressure in Adults: Report From the Panel Members Appointed to the Eighth Joint National Committee (JNC 8). // JAMA. 2013. </w:t>
      </w:r>
      <w:r w:rsidRPr="0044196C">
        <w:rPr>
          <w:noProof/>
          <w:color w:val="000000" w:themeColor="text1"/>
        </w:rPr>
        <w:t>Т</w:t>
      </w:r>
      <w:r w:rsidRPr="0044196C">
        <w:rPr>
          <w:noProof/>
          <w:color w:val="000000" w:themeColor="text1"/>
          <w:lang w:val="en-US"/>
        </w:rPr>
        <w:t xml:space="preserve">. 1097. </w:t>
      </w:r>
      <w:r w:rsidRPr="0044196C">
        <w:rPr>
          <w:noProof/>
          <w:color w:val="000000" w:themeColor="text1"/>
        </w:rPr>
        <w:t>С</w:t>
      </w:r>
      <w:r w:rsidRPr="0044196C">
        <w:rPr>
          <w:noProof/>
          <w:color w:val="000000" w:themeColor="text1"/>
          <w:lang w:val="en-US"/>
        </w:rPr>
        <w:t>. 1–14.</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28. Kidney Disease Improving Global Outcomes (KDIGO) CKD Work Group. KDIGO 2012 clinical practice guideline for the evaluation and management of chronic kidney disease // Kidney Int. 2013. </w:t>
      </w:r>
      <w:r w:rsidRPr="0044196C">
        <w:rPr>
          <w:noProof/>
          <w:color w:val="000000" w:themeColor="text1"/>
        </w:rPr>
        <w:t>Т</w:t>
      </w:r>
      <w:r w:rsidRPr="0044196C">
        <w:rPr>
          <w:noProof/>
          <w:color w:val="000000" w:themeColor="text1"/>
          <w:lang w:val="en-US"/>
        </w:rPr>
        <w:t xml:space="preserve">. Suppl. № 3 (1). </w:t>
      </w:r>
      <w:r w:rsidRPr="0044196C">
        <w:rPr>
          <w:noProof/>
          <w:color w:val="000000" w:themeColor="text1"/>
        </w:rPr>
        <w:t>С</w:t>
      </w:r>
      <w:r w:rsidRPr="0044196C">
        <w:rPr>
          <w:noProof/>
          <w:color w:val="000000" w:themeColor="text1"/>
          <w:lang w:val="en-US"/>
        </w:rPr>
        <w:t>. 1–150.</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29. KidneyDisease: Improving Global Outcomes (KDIGO) Blood Pressure Work Group. KDIGO Clinical Practice Guideline for the Management of Blood Pressure in Chronic Kidney Disease // Kidney Int. 2012. </w:t>
      </w:r>
      <w:r w:rsidRPr="0044196C">
        <w:rPr>
          <w:noProof/>
          <w:color w:val="000000" w:themeColor="text1"/>
        </w:rPr>
        <w:t>Т</w:t>
      </w:r>
      <w:r w:rsidRPr="0044196C">
        <w:rPr>
          <w:noProof/>
          <w:color w:val="000000" w:themeColor="text1"/>
          <w:lang w:val="en-US"/>
        </w:rPr>
        <w:t>. 2. № 5.</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30. Kim-Mitsuyama S, Ogawa H M.K. An angiotensin II receptor blocker–calcium channel blocker combination prevents cardiovascular events in elderly high-risk hypertensive patients </w:t>
      </w:r>
      <w:r w:rsidRPr="0044196C">
        <w:rPr>
          <w:noProof/>
          <w:color w:val="000000" w:themeColor="text1"/>
          <w:lang w:val="en-US"/>
        </w:rPr>
        <w:lastRenderedPageBreak/>
        <w:t xml:space="preserve">with chronic kidney disease better than high-dose angiotensin II receptor blockade alone // Kidney Int. 2013. </w:t>
      </w:r>
      <w:r w:rsidRPr="0044196C">
        <w:rPr>
          <w:noProof/>
          <w:color w:val="000000" w:themeColor="text1"/>
        </w:rPr>
        <w:t>Т</w:t>
      </w:r>
      <w:r w:rsidRPr="0044196C">
        <w:rPr>
          <w:noProof/>
          <w:color w:val="000000" w:themeColor="text1"/>
          <w:lang w:val="en-US"/>
        </w:rPr>
        <w:t xml:space="preserve">. 83. </w:t>
      </w:r>
      <w:r w:rsidRPr="0044196C">
        <w:rPr>
          <w:noProof/>
          <w:color w:val="000000" w:themeColor="text1"/>
        </w:rPr>
        <w:t>С</w:t>
      </w:r>
      <w:r w:rsidRPr="0044196C">
        <w:rPr>
          <w:noProof/>
          <w:color w:val="000000" w:themeColor="text1"/>
          <w:lang w:val="en-US"/>
        </w:rPr>
        <w:t>. 167–176.</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31. Klag M.J.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Blood pressure and end-stage renal disease in men. // N. Engl. J. Med. 1996. </w:t>
      </w:r>
      <w:r w:rsidRPr="0044196C">
        <w:rPr>
          <w:noProof/>
          <w:color w:val="000000" w:themeColor="text1"/>
        </w:rPr>
        <w:t>Т</w:t>
      </w:r>
      <w:r w:rsidRPr="0044196C">
        <w:rPr>
          <w:noProof/>
          <w:color w:val="000000" w:themeColor="text1"/>
          <w:lang w:val="en-US"/>
        </w:rPr>
        <w:t xml:space="preserve">. 334. № 1. </w:t>
      </w:r>
      <w:r w:rsidRPr="0044196C">
        <w:rPr>
          <w:noProof/>
          <w:color w:val="000000" w:themeColor="text1"/>
        </w:rPr>
        <w:t>С</w:t>
      </w:r>
      <w:r w:rsidRPr="0044196C">
        <w:rPr>
          <w:noProof/>
          <w:color w:val="000000" w:themeColor="text1"/>
          <w:lang w:val="en-US"/>
        </w:rPr>
        <w:t>. 13–8.</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32. Klahr S.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The effects of dietary protein restriction and blood-pressure control on the progression of chronic renal disease. Modification of Diet in Renal Disease Study Group. // N. Engl. J. Med. 1994. </w:t>
      </w:r>
      <w:r w:rsidRPr="0044196C">
        <w:rPr>
          <w:noProof/>
          <w:color w:val="000000" w:themeColor="text1"/>
        </w:rPr>
        <w:t>Т</w:t>
      </w:r>
      <w:r w:rsidRPr="0044196C">
        <w:rPr>
          <w:noProof/>
          <w:color w:val="000000" w:themeColor="text1"/>
          <w:lang w:val="en-US"/>
        </w:rPr>
        <w:t xml:space="preserve">. 330. № 13. </w:t>
      </w:r>
      <w:r w:rsidRPr="0044196C">
        <w:rPr>
          <w:noProof/>
          <w:color w:val="000000" w:themeColor="text1"/>
        </w:rPr>
        <w:t>С</w:t>
      </w:r>
      <w:r w:rsidRPr="0044196C">
        <w:rPr>
          <w:noProof/>
          <w:color w:val="000000" w:themeColor="text1"/>
          <w:lang w:val="en-US"/>
        </w:rPr>
        <w:t>. 877–84.</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33. Klahr S., Levey A., Beck G. The effects of dietary protein restriction and blood-pressure control on the progression of chronic renal disease // New Engl. J.  …. 1994.</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34. Kobori H.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The intrarenal renin-angiotensin system: from physiology to the pathobiology of hypertension and kidney disease // Pharmacol. Rev. 2007. </w:t>
      </w:r>
      <w:r w:rsidRPr="0044196C">
        <w:rPr>
          <w:noProof/>
          <w:color w:val="000000" w:themeColor="text1"/>
        </w:rPr>
        <w:t>Т</w:t>
      </w:r>
      <w:r w:rsidRPr="0044196C">
        <w:rPr>
          <w:noProof/>
          <w:color w:val="000000" w:themeColor="text1"/>
          <w:lang w:val="en-US"/>
        </w:rPr>
        <w:t xml:space="preserve">. 59. № 3. </w:t>
      </w:r>
      <w:r w:rsidRPr="0044196C">
        <w:rPr>
          <w:noProof/>
          <w:color w:val="000000" w:themeColor="text1"/>
        </w:rPr>
        <w:t>С</w:t>
      </w:r>
      <w:r w:rsidRPr="0044196C">
        <w:rPr>
          <w:noProof/>
          <w:color w:val="000000" w:themeColor="text1"/>
          <w:lang w:val="en-US"/>
        </w:rPr>
        <w:t>. 251–287.</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35. Kuznik A., Mardekian J., Tarasenko L. Evaluation of cardiovascular disease burden and therapeutic goal attainment in US adults with chronic kidney disease: an analysis of national health and nutritional examination survey data, 2001-2010. // BMC Nephrol. 2013. </w:t>
      </w:r>
      <w:r w:rsidRPr="0044196C">
        <w:rPr>
          <w:noProof/>
          <w:color w:val="000000" w:themeColor="text1"/>
        </w:rPr>
        <w:t>Т</w:t>
      </w:r>
      <w:r w:rsidRPr="0044196C">
        <w:rPr>
          <w:noProof/>
          <w:color w:val="000000" w:themeColor="text1"/>
          <w:lang w:val="en-US"/>
        </w:rPr>
        <w:t xml:space="preserve">. 14. № 1. </w:t>
      </w:r>
      <w:r w:rsidRPr="0044196C">
        <w:rPr>
          <w:noProof/>
          <w:color w:val="000000" w:themeColor="text1"/>
        </w:rPr>
        <w:t>С</w:t>
      </w:r>
      <w:r w:rsidRPr="0044196C">
        <w:rPr>
          <w:noProof/>
          <w:color w:val="000000" w:themeColor="text1"/>
          <w:lang w:val="en-US"/>
        </w:rPr>
        <w:t>. 132.</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36. Lewis E.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Renoprotective effect of the angiotensin-receptor antagonist irbesartan in patients with nephropathy due to type 2 diabetes // New Engl. J. …. 2001. </w:t>
      </w:r>
      <w:r w:rsidRPr="0044196C">
        <w:rPr>
          <w:noProof/>
          <w:color w:val="000000" w:themeColor="text1"/>
        </w:rPr>
        <w:t>Т</w:t>
      </w:r>
      <w:r w:rsidRPr="0044196C">
        <w:rPr>
          <w:noProof/>
          <w:color w:val="000000" w:themeColor="text1"/>
          <w:lang w:val="en-US"/>
        </w:rPr>
        <w:t xml:space="preserve">. 345. № 12. </w:t>
      </w:r>
      <w:r w:rsidRPr="0044196C">
        <w:rPr>
          <w:noProof/>
          <w:color w:val="000000" w:themeColor="text1"/>
        </w:rPr>
        <w:t>С</w:t>
      </w:r>
      <w:r w:rsidRPr="0044196C">
        <w:rPr>
          <w:noProof/>
          <w:color w:val="000000" w:themeColor="text1"/>
          <w:lang w:val="en-US"/>
        </w:rPr>
        <w:t>. 851–860.</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37. Lotan Y.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Impact of fluid intake in the prevention of urinary system diseases: a brief review. // Curr. Opin. Nephrol. Hypertens. 2013. </w:t>
      </w:r>
      <w:r w:rsidRPr="0044196C">
        <w:rPr>
          <w:noProof/>
          <w:color w:val="000000" w:themeColor="text1"/>
        </w:rPr>
        <w:t>Т</w:t>
      </w:r>
      <w:r w:rsidRPr="0044196C">
        <w:rPr>
          <w:noProof/>
          <w:color w:val="000000" w:themeColor="text1"/>
          <w:lang w:val="en-US"/>
        </w:rPr>
        <w:t xml:space="preserve">. 22 Suppl 1. № Suppl 1. </w:t>
      </w:r>
      <w:r w:rsidRPr="0044196C">
        <w:rPr>
          <w:noProof/>
          <w:color w:val="000000" w:themeColor="text1"/>
        </w:rPr>
        <w:t>С</w:t>
      </w:r>
      <w:r w:rsidRPr="0044196C">
        <w:rPr>
          <w:noProof/>
          <w:color w:val="000000" w:themeColor="text1"/>
          <w:lang w:val="en-US"/>
        </w:rPr>
        <w:t>. S1–10.</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38. Lv J.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Effects of intensive blood pressure lowering on cardiovascular and renal outcomes: a systematic review and meta-analysis. // PLoS Med. 2012. </w:t>
      </w:r>
      <w:r w:rsidRPr="0044196C">
        <w:rPr>
          <w:noProof/>
          <w:color w:val="000000" w:themeColor="text1"/>
        </w:rPr>
        <w:t>Т</w:t>
      </w:r>
      <w:r w:rsidRPr="0044196C">
        <w:rPr>
          <w:noProof/>
          <w:color w:val="000000" w:themeColor="text1"/>
          <w:lang w:val="en-US"/>
        </w:rPr>
        <w:t xml:space="preserve">. 9. № 8. </w:t>
      </w:r>
      <w:r w:rsidRPr="0044196C">
        <w:rPr>
          <w:noProof/>
          <w:color w:val="000000" w:themeColor="text1"/>
        </w:rPr>
        <w:t>С</w:t>
      </w:r>
      <w:r w:rsidRPr="0044196C">
        <w:rPr>
          <w:noProof/>
          <w:color w:val="000000" w:themeColor="text1"/>
          <w:lang w:val="en-US"/>
        </w:rPr>
        <w:t>. e1001293.</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39. Lv J.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Effects of intensive blood pressure lowering on the progression of chronic kidney disease: a systematic review and meta-analysis. // CMAJ. 2013. </w:t>
      </w:r>
      <w:r w:rsidRPr="0044196C">
        <w:rPr>
          <w:noProof/>
          <w:color w:val="000000" w:themeColor="text1"/>
        </w:rPr>
        <w:t>Т</w:t>
      </w:r>
      <w:r w:rsidRPr="0044196C">
        <w:rPr>
          <w:noProof/>
          <w:color w:val="000000" w:themeColor="text1"/>
          <w:lang w:val="en-US"/>
        </w:rPr>
        <w:t xml:space="preserve">. 185. № 11. </w:t>
      </w:r>
      <w:r w:rsidRPr="0044196C">
        <w:rPr>
          <w:noProof/>
          <w:color w:val="000000" w:themeColor="text1"/>
        </w:rPr>
        <w:t>С</w:t>
      </w:r>
      <w:r w:rsidRPr="0044196C">
        <w:rPr>
          <w:noProof/>
          <w:color w:val="000000" w:themeColor="text1"/>
          <w:lang w:val="en-US"/>
        </w:rPr>
        <w:t>. 949–57.</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40. Mahmoodi B.K.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Associations of kidney disease measures with mortality and end-stage renal disease in individuals with and without hypertension: a meta-analysis. // Lancet. 2012. </w:t>
      </w:r>
      <w:r w:rsidRPr="0044196C">
        <w:rPr>
          <w:noProof/>
          <w:color w:val="000000" w:themeColor="text1"/>
        </w:rPr>
        <w:t>Т</w:t>
      </w:r>
      <w:r w:rsidRPr="0044196C">
        <w:rPr>
          <w:noProof/>
          <w:color w:val="000000" w:themeColor="text1"/>
          <w:lang w:val="en-US"/>
        </w:rPr>
        <w:t xml:space="preserve">. 380. № 9854. </w:t>
      </w:r>
      <w:r w:rsidRPr="0044196C">
        <w:rPr>
          <w:noProof/>
          <w:color w:val="000000" w:themeColor="text1"/>
        </w:rPr>
        <w:t>С</w:t>
      </w:r>
      <w:r w:rsidRPr="0044196C">
        <w:rPr>
          <w:noProof/>
          <w:color w:val="000000" w:themeColor="text1"/>
          <w:lang w:val="en-US"/>
        </w:rPr>
        <w:t>. 1649–61.</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41. Maione A.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Angiotensin-converting enzyme inhibitors, angiotensin receptor blockers and combined therapy in patients with micro- and macroalbuminuria and other cardiovascular risk factors: a systematic review of randomized controlled trials. // Nephrol. Dial. Transplant. 2011. </w:t>
      </w:r>
      <w:r w:rsidRPr="0044196C">
        <w:rPr>
          <w:noProof/>
          <w:color w:val="000000" w:themeColor="text1"/>
        </w:rPr>
        <w:t>Т</w:t>
      </w:r>
      <w:r w:rsidRPr="0044196C">
        <w:rPr>
          <w:noProof/>
          <w:color w:val="000000" w:themeColor="text1"/>
          <w:lang w:val="en-US"/>
        </w:rPr>
        <w:t xml:space="preserve">. 26. № 9. </w:t>
      </w:r>
      <w:r w:rsidRPr="0044196C">
        <w:rPr>
          <w:noProof/>
          <w:color w:val="000000" w:themeColor="text1"/>
        </w:rPr>
        <w:t>С</w:t>
      </w:r>
      <w:r w:rsidRPr="0044196C">
        <w:rPr>
          <w:noProof/>
          <w:color w:val="000000" w:themeColor="text1"/>
          <w:lang w:val="en-US"/>
        </w:rPr>
        <w:t>. 2827–47.</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42. Mancia G.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2013 ESH/ESC guidelines for the management of arterial hypertension: the Task Force for the Management of Arterial Hypertension of the European Society of Hypertension (ESH) and of the European Society of Cardiology (ESC). // Eur. Heart J. 2013. </w:t>
      </w:r>
      <w:r w:rsidRPr="0044196C">
        <w:rPr>
          <w:noProof/>
          <w:color w:val="000000" w:themeColor="text1"/>
        </w:rPr>
        <w:t>Т</w:t>
      </w:r>
      <w:r w:rsidRPr="0044196C">
        <w:rPr>
          <w:noProof/>
          <w:color w:val="000000" w:themeColor="text1"/>
          <w:lang w:val="en-US"/>
        </w:rPr>
        <w:t xml:space="preserve">. 34. № 28. </w:t>
      </w:r>
      <w:r w:rsidRPr="0044196C">
        <w:rPr>
          <w:noProof/>
          <w:color w:val="000000" w:themeColor="text1"/>
        </w:rPr>
        <w:t>С</w:t>
      </w:r>
      <w:r w:rsidRPr="0044196C">
        <w:rPr>
          <w:noProof/>
          <w:color w:val="000000" w:themeColor="text1"/>
          <w:lang w:val="en-US"/>
        </w:rPr>
        <w:t>. 2159–219.</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43. Maschio G.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Effect of the Angiotensin-Converting–Enzyme Inhibitor Benazepril on the Progression of Chronic Renal Insufficiency // N. Engl. J. Med. 1996. </w:t>
      </w:r>
      <w:r w:rsidRPr="0044196C">
        <w:rPr>
          <w:noProof/>
          <w:color w:val="000000" w:themeColor="text1"/>
        </w:rPr>
        <w:t>Т</w:t>
      </w:r>
      <w:r w:rsidRPr="0044196C">
        <w:rPr>
          <w:noProof/>
          <w:color w:val="000000" w:themeColor="text1"/>
          <w:lang w:val="en-US"/>
        </w:rPr>
        <w:t xml:space="preserve">. 334. № 15. </w:t>
      </w:r>
      <w:r w:rsidRPr="0044196C">
        <w:rPr>
          <w:noProof/>
          <w:color w:val="000000" w:themeColor="text1"/>
        </w:rPr>
        <w:t>С</w:t>
      </w:r>
      <w:r w:rsidRPr="0044196C">
        <w:rPr>
          <w:noProof/>
          <w:color w:val="000000" w:themeColor="text1"/>
          <w:lang w:val="en-US"/>
        </w:rPr>
        <w:t>. 939–945.</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44. Nangaku M., Fujita T. Activation of the renin-angiotensin system and chronic hypoxia of the kidney. // Hypertens. Res. 2008. </w:t>
      </w:r>
      <w:r w:rsidRPr="0044196C">
        <w:rPr>
          <w:noProof/>
          <w:color w:val="000000" w:themeColor="text1"/>
        </w:rPr>
        <w:t>Т</w:t>
      </w:r>
      <w:r w:rsidRPr="0044196C">
        <w:rPr>
          <w:noProof/>
          <w:color w:val="000000" w:themeColor="text1"/>
          <w:lang w:val="en-US"/>
        </w:rPr>
        <w:t xml:space="preserve">. 31. № 2. </w:t>
      </w:r>
      <w:r w:rsidRPr="0044196C">
        <w:rPr>
          <w:noProof/>
          <w:color w:val="000000" w:themeColor="text1"/>
        </w:rPr>
        <w:t>С</w:t>
      </w:r>
      <w:r w:rsidRPr="0044196C">
        <w:rPr>
          <w:noProof/>
          <w:color w:val="000000" w:themeColor="text1"/>
          <w:lang w:val="en-US"/>
        </w:rPr>
        <w:t>. 175–84.</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lastRenderedPageBreak/>
        <w:t xml:space="preserve">45. National Kidney Foundation. K/DOQI clinical practice guidelines on hypertension and antihypertensive agents in chronic kidney disease. // Am J Kidney Dis. 2004. </w:t>
      </w:r>
      <w:r w:rsidRPr="0044196C">
        <w:rPr>
          <w:noProof/>
          <w:color w:val="000000" w:themeColor="text1"/>
        </w:rPr>
        <w:t>Т</w:t>
      </w:r>
      <w:r w:rsidRPr="0044196C">
        <w:rPr>
          <w:noProof/>
          <w:color w:val="000000" w:themeColor="text1"/>
          <w:lang w:val="en-US"/>
        </w:rPr>
        <w:t>. 43. № S1-S290.</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46. Nitsch D.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Associations of estimated glomerular filtration rate and albuminuria with mortality and renal failure by sex: a meta-analysis. // BMJ. 2013. </w:t>
      </w:r>
      <w:r w:rsidRPr="0044196C">
        <w:rPr>
          <w:noProof/>
          <w:color w:val="000000" w:themeColor="text1"/>
        </w:rPr>
        <w:t>Т</w:t>
      </w:r>
      <w:r w:rsidRPr="0044196C">
        <w:rPr>
          <w:noProof/>
          <w:color w:val="000000" w:themeColor="text1"/>
          <w:lang w:val="en-US"/>
        </w:rPr>
        <w:t xml:space="preserve">. 346. </w:t>
      </w:r>
      <w:r w:rsidRPr="0044196C">
        <w:rPr>
          <w:noProof/>
          <w:color w:val="000000" w:themeColor="text1"/>
        </w:rPr>
        <w:t>С</w:t>
      </w:r>
      <w:r w:rsidRPr="0044196C">
        <w:rPr>
          <w:noProof/>
          <w:color w:val="000000" w:themeColor="text1"/>
          <w:lang w:val="en-US"/>
        </w:rPr>
        <w:t>. f324.</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47. Parving H.-H.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Baseline characteristics in the Aliskiren Trial in Type 2 Diabetes Using Cardio-Renal Endpoints (ALTITUDE). // J. Renin. Angiotensin. Aldosterone. Syst. 2012. </w:t>
      </w:r>
      <w:r w:rsidRPr="0044196C">
        <w:rPr>
          <w:noProof/>
          <w:color w:val="000000" w:themeColor="text1"/>
        </w:rPr>
        <w:t>Т</w:t>
      </w:r>
      <w:r w:rsidRPr="0044196C">
        <w:rPr>
          <w:noProof/>
          <w:color w:val="000000" w:themeColor="text1"/>
          <w:lang w:val="en-US"/>
        </w:rPr>
        <w:t xml:space="preserve">. 13. № 3. </w:t>
      </w:r>
      <w:r w:rsidRPr="0044196C">
        <w:rPr>
          <w:noProof/>
          <w:color w:val="000000" w:themeColor="text1"/>
        </w:rPr>
        <w:t>С</w:t>
      </w:r>
      <w:r w:rsidRPr="0044196C">
        <w:rPr>
          <w:noProof/>
          <w:color w:val="000000" w:themeColor="text1"/>
          <w:lang w:val="en-US"/>
        </w:rPr>
        <w:t>. 387–93.</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48. Perna A.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ACE genotype and ACE inhibitors induced renoprotection in chronic proteinuric nephropathies // Kidney Int. 2000. </w:t>
      </w:r>
      <w:r w:rsidRPr="0044196C">
        <w:rPr>
          <w:noProof/>
          <w:color w:val="000000" w:themeColor="text1"/>
        </w:rPr>
        <w:t>Т</w:t>
      </w:r>
      <w:r w:rsidRPr="0044196C">
        <w:rPr>
          <w:noProof/>
          <w:color w:val="000000" w:themeColor="text1"/>
          <w:lang w:val="en-US"/>
        </w:rPr>
        <w:t xml:space="preserve">. 57. </w:t>
      </w:r>
      <w:r w:rsidRPr="0044196C">
        <w:rPr>
          <w:noProof/>
          <w:color w:val="000000" w:themeColor="text1"/>
        </w:rPr>
        <w:t>С</w:t>
      </w:r>
      <w:r w:rsidRPr="0044196C">
        <w:rPr>
          <w:noProof/>
          <w:color w:val="000000" w:themeColor="text1"/>
          <w:lang w:val="en-US"/>
        </w:rPr>
        <w:t>. 274–281.</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49. Qaseem A.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Screening, monitoring, and treatment of stage 1 to 3 chronic kidney disease: A clinical practice guideline from the American College of Physicians. // Ann. Intern. Med. 2013. </w:t>
      </w:r>
      <w:r w:rsidRPr="0044196C">
        <w:rPr>
          <w:noProof/>
          <w:color w:val="000000" w:themeColor="text1"/>
        </w:rPr>
        <w:t>Т</w:t>
      </w:r>
      <w:r w:rsidRPr="0044196C">
        <w:rPr>
          <w:noProof/>
          <w:color w:val="000000" w:themeColor="text1"/>
          <w:lang w:val="en-US"/>
        </w:rPr>
        <w:t xml:space="preserve">. 159. № 12. </w:t>
      </w:r>
      <w:r w:rsidRPr="0044196C">
        <w:rPr>
          <w:noProof/>
          <w:color w:val="000000" w:themeColor="text1"/>
        </w:rPr>
        <w:t>С</w:t>
      </w:r>
      <w:r w:rsidRPr="0044196C">
        <w:rPr>
          <w:noProof/>
          <w:color w:val="000000" w:themeColor="text1"/>
          <w:lang w:val="en-US"/>
        </w:rPr>
        <w:t>. 835–47.</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50. Ruggenenti P.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Proteinuria predicts end-stage renal failure in non-diabetic chronic nephropathies. The “Gruppo Italiano di Studi Epidemiologici in Nefrologia” (GISEN). // Kidney Int. Suppl. 1997. </w:t>
      </w:r>
      <w:r w:rsidRPr="0044196C">
        <w:rPr>
          <w:noProof/>
          <w:color w:val="000000" w:themeColor="text1"/>
        </w:rPr>
        <w:t>Т</w:t>
      </w:r>
      <w:r w:rsidRPr="0044196C">
        <w:rPr>
          <w:noProof/>
          <w:color w:val="000000" w:themeColor="text1"/>
          <w:lang w:val="en-US"/>
        </w:rPr>
        <w:t xml:space="preserve">. 63. </w:t>
      </w:r>
      <w:r w:rsidRPr="0044196C">
        <w:rPr>
          <w:noProof/>
          <w:color w:val="000000" w:themeColor="text1"/>
        </w:rPr>
        <w:t>С</w:t>
      </w:r>
      <w:r w:rsidRPr="0044196C">
        <w:rPr>
          <w:noProof/>
          <w:color w:val="000000" w:themeColor="text1"/>
          <w:lang w:val="en-US"/>
        </w:rPr>
        <w:t>. S54–7.</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51. Ruggenenti P.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Renal function and requirement for dialysis in chronic nephropathy patients on long-term ramipril : REIN follow-up trial // Lancet. 1998. </w:t>
      </w:r>
      <w:r w:rsidRPr="0044196C">
        <w:rPr>
          <w:noProof/>
          <w:color w:val="000000" w:themeColor="text1"/>
        </w:rPr>
        <w:t>Т</w:t>
      </w:r>
      <w:r w:rsidRPr="0044196C">
        <w:rPr>
          <w:noProof/>
          <w:color w:val="000000" w:themeColor="text1"/>
          <w:lang w:val="en-US"/>
        </w:rPr>
        <w:t xml:space="preserve">. 352. </w:t>
      </w:r>
      <w:r w:rsidRPr="0044196C">
        <w:rPr>
          <w:noProof/>
          <w:color w:val="000000" w:themeColor="text1"/>
        </w:rPr>
        <w:t>С</w:t>
      </w:r>
      <w:r w:rsidRPr="0044196C">
        <w:rPr>
          <w:noProof/>
          <w:color w:val="000000" w:themeColor="text1"/>
          <w:lang w:val="en-US"/>
        </w:rPr>
        <w:t>. 1252–1256.</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52. Ruggenenti P.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ACE Inhibitors to Prevent End-Stage Renal Disease : When to Start and Why Possibly Never to Stop : A Post Hoc Analysis of the REIN Trial Results // 2001. </w:t>
      </w:r>
      <w:r w:rsidRPr="0044196C">
        <w:rPr>
          <w:noProof/>
          <w:color w:val="000000" w:themeColor="text1"/>
        </w:rPr>
        <w:t>С</w:t>
      </w:r>
      <w:r w:rsidRPr="0044196C">
        <w:rPr>
          <w:noProof/>
          <w:color w:val="000000" w:themeColor="text1"/>
          <w:lang w:val="en-US"/>
        </w:rPr>
        <w:t>. 2832–2837.</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53. Ruggenenti P.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Blood-pressure control for renoprotection in patients with non-diabetic chronic renal disease (REIN-2): multicentre, randomised controlled trial. // Lancet. 2005. </w:t>
      </w:r>
      <w:r w:rsidRPr="0044196C">
        <w:rPr>
          <w:noProof/>
          <w:color w:val="000000" w:themeColor="text1"/>
        </w:rPr>
        <w:t>Т</w:t>
      </w:r>
      <w:r w:rsidRPr="0044196C">
        <w:rPr>
          <w:noProof/>
          <w:color w:val="000000" w:themeColor="text1"/>
          <w:lang w:val="en-US"/>
        </w:rPr>
        <w:t xml:space="preserve">. 365. № 9463. </w:t>
      </w:r>
      <w:r w:rsidRPr="0044196C">
        <w:rPr>
          <w:noProof/>
          <w:color w:val="000000" w:themeColor="text1"/>
        </w:rPr>
        <w:t>С</w:t>
      </w:r>
      <w:r w:rsidRPr="0044196C">
        <w:rPr>
          <w:noProof/>
          <w:color w:val="000000" w:themeColor="text1"/>
          <w:lang w:val="en-US"/>
        </w:rPr>
        <w:t>. 939–46.</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54. Sarnak M.J.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The effect of a lower target blood pressure on the progression of kidney disease: long-term follow-up of the modification of diet in renal disease study. // Ann. Intern. Med. 2005. </w:t>
      </w:r>
      <w:r w:rsidRPr="0044196C">
        <w:rPr>
          <w:noProof/>
          <w:color w:val="000000" w:themeColor="text1"/>
        </w:rPr>
        <w:t>Т</w:t>
      </w:r>
      <w:r w:rsidRPr="0044196C">
        <w:rPr>
          <w:noProof/>
          <w:color w:val="000000" w:themeColor="text1"/>
          <w:lang w:val="en-US"/>
        </w:rPr>
        <w:t xml:space="preserve">. 142. № 5. </w:t>
      </w:r>
      <w:r w:rsidRPr="0044196C">
        <w:rPr>
          <w:noProof/>
          <w:color w:val="000000" w:themeColor="text1"/>
        </w:rPr>
        <w:t>С</w:t>
      </w:r>
      <w:r w:rsidRPr="0044196C">
        <w:rPr>
          <w:noProof/>
          <w:color w:val="000000" w:themeColor="text1"/>
          <w:lang w:val="en-US"/>
        </w:rPr>
        <w:t>. 342–51.</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55. Sontrop J.M.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Association between water intake, chronic kidney disease, and cardiovascular disease: a cross-sectional analysis of NHANES data. // Am. J. Nephrol. 2013. </w:t>
      </w:r>
      <w:r w:rsidRPr="0044196C">
        <w:rPr>
          <w:noProof/>
          <w:color w:val="000000" w:themeColor="text1"/>
        </w:rPr>
        <w:t>Т</w:t>
      </w:r>
      <w:r w:rsidRPr="0044196C">
        <w:rPr>
          <w:noProof/>
          <w:color w:val="000000" w:themeColor="text1"/>
          <w:lang w:val="en-US"/>
        </w:rPr>
        <w:t xml:space="preserve">. 37. № 5. </w:t>
      </w:r>
      <w:r w:rsidRPr="0044196C">
        <w:rPr>
          <w:noProof/>
          <w:color w:val="000000" w:themeColor="text1"/>
        </w:rPr>
        <w:t>С</w:t>
      </w:r>
      <w:r w:rsidRPr="0044196C">
        <w:rPr>
          <w:noProof/>
          <w:color w:val="000000" w:themeColor="text1"/>
          <w:lang w:val="en-US"/>
        </w:rPr>
        <w:t>. 434–42.</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56. Velez J.C.Q. The importance of the intrarenal renin-angiotensin system. // Nat. Clin. Pract. Nephrol. 2009. </w:t>
      </w:r>
      <w:r w:rsidRPr="0044196C">
        <w:rPr>
          <w:noProof/>
          <w:color w:val="000000" w:themeColor="text1"/>
        </w:rPr>
        <w:t>Т</w:t>
      </w:r>
      <w:r w:rsidRPr="0044196C">
        <w:rPr>
          <w:noProof/>
          <w:color w:val="000000" w:themeColor="text1"/>
          <w:lang w:val="en-US"/>
        </w:rPr>
        <w:t xml:space="preserve">. 5. № 2. </w:t>
      </w:r>
      <w:r w:rsidRPr="0044196C">
        <w:rPr>
          <w:noProof/>
          <w:color w:val="000000" w:themeColor="text1"/>
        </w:rPr>
        <w:t>С</w:t>
      </w:r>
      <w:r w:rsidRPr="0044196C">
        <w:rPr>
          <w:noProof/>
          <w:color w:val="000000" w:themeColor="text1"/>
          <w:lang w:val="en-US"/>
        </w:rPr>
        <w:t>. 89–100.</w:t>
      </w:r>
    </w:p>
    <w:p w:rsidR="00EA3B99" w:rsidRPr="0044196C" w:rsidRDefault="00EA3B99" w:rsidP="00960243">
      <w:pPr>
        <w:pStyle w:val="af9"/>
        <w:jc w:val="both"/>
        <w:divId w:val="267665709"/>
        <w:rPr>
          <w:noProof/>
          <w:color w:val="000000" w:themeColor="text1"/>
          <w:lang w:val="en-US"/>
        </w:rPr>
      </w:pPr>
      <w:r w:rsidRPr="0044196C">
        <w:rPr>
          <w:noProof/>
          <w:color w:val="000000" w:themeColor="text1"/>
          <w:lang w:val="en-US"/>
        </w:rPr>
        <w:t xml:space="preserve">57. Weber M. a </w:t>
      </w:r>
      <w:r w:rsidRPr="0044196C">
        <w:rPr>
          <w:noProof/>
          <w:color w:val="000000" w:themeColor="text1"/>
        </w:rPr>
        <w:t>и</w:t>
      </w:r>
      <w:r w:rsidRPr="0044196C">
        <w:rPr>
          <w:noProof/>
          <w:color w:val="000000" w:themeColor="text1"/>
          <w:lang w:val="en-US"/>
        </w:rPr>
        <w:t xml:space="preserve"> </w:t>
      </w:r>
      <w:r w:rsidRPr="0044196C">
        <w:rPr>
          <w:noProof/>
          <w:color w:val="000000" w:themeColor="text1"/>
        </w:rPr>
        <w:t>др</w:t>
      </w:r>
      <w:r w:rsidRPr="0044196C">
        <w:rPr>
          <w:noProof/>
          <w:color w:val="000000" w:themeColor="text1"/>
          <w:lang w:val="en-US"/>
        </w:rPr>
        <w:t xml:space="preserve">. Clinical practice guidelines for the management of hypertension in the community: a statement by the american society of hypertension and the international society of hypertension. // J. Clin. Hypertens. (Greenwich). 2014. </w:t>
      </w:r>
      <w:r w:rsidRPr="0044196C">
        <w:rPr>
          <w:noProof/>
          <w:color w:val="000000" w:themeColor="text1"/>
        </w:rPr>
        <w:t>Т</w:t>
      </w:r>
      <w:r w:rsidRPr="0044196C">
        <w:rPr>
          <w:noProof/>
          <w:color w:val="000000" w:themeColor="text1"/>
          <w:lang w:val="en-US"/>
        </w:rPr>
        <w:t xml:space="preserve">. 16. № 1. </w:t>
      </w:r>
      <w:r w:rsidRPr="0044196C">
        <w:rPr>
          <w:noProof/>
          <w:color w:val="000000" w:themeColor="text1"/>
        </w:rPr>
        <w:t>С</w:t>
      </w:r>
      <w:r w:rsidRPr="0044196C">
        <w:rPr>
          <w:noProof/>
          <w:color w:val="000000" w:themeColor="text1"/>
          <w:lang w:val="en-US"/>
        </w:rPr>
        <w:t xml:space="preserve">. 14–26. </w:t>
      </w:r>
    </w:p>
    <w:p w:rsidR="00E77FAA" w:rsidRPr="0044196C" w:rsidRDefault="009D7C63" w:rsidP="00960243">
      <w:pPr>
        <w:pStyle w:val="af9"/>
        <w:ind w:left="640" w:hanging="640"/>
        <w:jc w:val="both"/>
        <w:divId w:val="541359086"/>
        <w:rPr>
          <w:color w:val="000000" w:themeColor="text1"/>
        </w:rPr>
      </w:pPr>
      <w:r w:rsidRPr="0044196C">
        <w:rPr>
          <w:color w:val="000000" w:themeColor="text1"/>
        </w:rPr>
        <w:fldChar w:fldCharType="end"/>
      </w:r>
    </w:p>
    <w:sectPr w:rsidR="00E77FAA" w:rsidRPr="0044196C" w:rsidSect="008146B7">
      <w:pgSz w:w="11906" w:h="16838"/>
      <w:pgMar w:top="851" w:right="850" w:bottom="284" w:left="1701" w:header="708" w:footer="1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7DA" w:rsidRPr="000F4690" w:rsidRDefault="000677DA" w:rsidP="000F4690">
      <w:pPr>
        <w:pStyle w:val="Title03"/>
        <w:spacing w:before="0" w:after="0" w:line="240" w:lineRule="auto"/>
        <w:rPr>
          <w:rFonts w:asciiTheme="minorHAnsi" w:eastAsiaTheme="minorHAnsi" w:hAnsiTheme="minorHAnsi" w:cstheme="minorBidi"/>
          <w:b w:val="0"/>
          <w:caps w:val="0"/>
          <w:color w:val="auto"/>
          <w:lang w:eastAsia="en-US"/>
        </w:rPr>
      </w:pPr>
      <w:r>
        <w:separator/>
      </w:r>
    </w:p>
  </w:endnote>
  <w:endnote w:type="continuationSeparator" w:id="1">
    <w:p w:rsidR="000677DA" w:rsidRPr="000F4690" w:rsidRDefault="000677DA" w:rsidP="000F4690">
      <w:pPr>
        <w:pStyle w:val="Title03"/>
        <w:spacing w:before="0" w:after="0" w:line="240" w:lineRule="auto"/>
        <w:rPr>
          <w:rFonts w:asciiTheme="minorHAnsi" w:eastAsiaTheme="minorHAnsi" w:hAnsiTheme="minorHAnsi" w:cstheme="minorBidi"/>
          <w:b w:val="0"/>
          <w:caps w:val="0"/>
          <w:color w:val="auto"/>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819265"/>
      <w:docPartObj>
        <w:docPartGallery w:val="Page Numbers (Bottom of Page)"/>
        <w:docPartUnique/>
      </w:docPartObj>
    </w:sdtPr>
    <w:sdtContent>
      <w:p w:rsidR="007339C4" w:rsidRDefault="007339C4">
        <w:pPr>
          <w:pStyle w:val="aa"/>
          <w:jc w:val="right"/>
        </w:pPr>
        <w:fldSimple w:instr=" PAGE   \* MERGEFORMAT ">
          <w:r w:rsidR="000677DA">
            <w:rPr>
              <w:noProof/>
            </w:rPr>
            <w:t>1</w:t>
          </w:r>
        </w:fldSimple>
      </w:p>
    </w:sdtContent>
  </w:sdt>
  <w:p w:rsidR="007339C4" w:rsidRDefault="007339C4" w:rsidP="001311D1">
    <w:pPr>
      <w:pStyle w:val="aa"/>
      <w:tabs>
        <w:tab w:val="clear" w:pos="4677"/>
        <w:tab w:val="clear" w:pos="9355"/>
        <w:tab w:val="left" w:pos="228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7DA" w:rsidRPr="000F4690" w:rsidRDefault="000677DA" w:rsidP="000F4690">
      <w:pPr>
        <w:pStyle w:val="Title03"/>
        <w:spacing w:before="0" w:after="0" w:line="240" w:lineRule="auto"/>
        <w:rPr>
          <w:rFonts w:asciiTheme="minorHAnsi" w:eastAsiaTheme="minorHAnsi" w:hAnsiTheme="minorHAnsi" w:cstheme="minorBidi"/>
          <w:b w:val="0"/>
          <w:caps w:val="0"/>
          <w:color w:val="auto"/>
          <w:lang w:eastAsia="en-US"/>
        </w:rPr>
      </w:pPr>
      <w:r>
        <w:separator/>
      </w:r>
    </w:p>
  </w:footnote>
  <w:footnote w:type="continuationSeparator" w:id="1">
    <w:p w:rsidR="000677DA" w:rsidRPr="000F4690" w:rsidRDefault="000677DA" w:rsidP="000F4690">
      <w:pPr>
        <w:pStyle w:val="Title03"/>
        <w:spacing w:before="0" w:after="0" w:line="240" w:lineRule="auto"/>
        <w:rPr>
          <w:rFonts w:asciiTheme="minorHAnsi" w:eastAsiaTheme="minorHAnsi" w:hAnsiTheme="minorHAnsi" w:cstheme="minorBidi"/>
          <w:b w:val="0"/>
          <w:caps w:val="0"/>
          <w:color w:val="auto"/>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FC20EA"/>
    <w:lvl w:ilvl="0">
      <w:start w:val="1"/>
      <w:numFmt w:val="bullet"/>
      <w:pStyle w:val="a"/>
      <w:lvlText w:val=""/>
      <w:lvlJc w:val="left"/>
      <w:pPr>
        <w:tabs>
          <w:tab w:val="num" w:pos="360"/>
        </w:tabs>
        <w:ind w:left="360" w:hanging="360"/>
      </w:pPr>
      <w:rPr>
        <w:rFonts w:ascii="Symbol" w:hAnsi="Symbol" w:hint="default"/>
      </w:rPr>
    </w:lvl>
  </w:abstractNum>
  <w:abstractNum w:abstractNumId="1">
    <w:nsid w:val="16020FB1"/>
    <w:multiLevelType w:val="multilevel"/>
    <w:tmpl w:val="9E58219C"/>
    <w:styleLink w:val="1"/>
    <w:lvl w:ilvl="0">
      <w:start w:val="1"/>
      <w:numFmt w:val="bullet"/>
      <w:lvlText w:val=""/>
      <w:lvlJc w:val="left"/>
      <w:pPr>
        <w:ind w:left="360" w:hanging="360"/>
      </w:pPr>
      <w:rPr>
        <w:rFonts w:ascii="Symbol" w:hAnsi="Symbol" w:hint="default"/>
        <w:color w:val="1F497D" w:themeColor="text2"/>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6742687"/>
    <w:multiLevelType w:val="multilevel"/>
    <w:tmpl w:val="64AA2836"/>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437" w:hanging="360"/>
      </w:pPr>
      <w:rPr>
        <w:rFonts w:ascii="Courier New" w:hAnsi="Courier New" w:hint="default"/>
      </w:rPr>
    </w:lvl>
    <w:lvl w:ilvl="2">
      <w:start w:val="1"/>
      <w:numFmt w:val="bullet"/>
      <w:lvlText w:val="-"/>
      <w:lvlJc w:val="left"/>
      <w:pPr>
        <w:ind w:left="2157" w:hanging="360"/>
      </w:pPr>
      <w:rPr>
        <w:rFonts w:ascii="Courier New" w:hAnsi="Courier New"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
    <w:nsid w:val="1AC36575"/>
    <w:multiLevelType w:val="multilevel"/>
    <w:tmpl w:val="9E58219C"/>
    <w:numStyleLink w:val="1"/>
  </w:abstractNum>
  <w:abstractNum w:abstractNumId="4">
    <w:nsid w:val="1AE33DB2"/>
    <w:multiLevelType w:val="multilevel"/>
    <w:tmpl w:val="9E58219C"/>
    <w:numStyleLink w:val="1"/>
  </w:abstractNum>
  <w:abstractNum w:abstractNumId="5">
    <w:nsid w:val="1FD42EF4"/>
    <w:multiLevelType w:val="hybridMultilevel"/>
    <w:tmpl w:val="26749A70"/>
    <w:lvl w:ilvl="0" w:tplc="0CA0D07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B1363E1"/>
    <w:multiLevelType w:val="hybridMultilevel"/>
    <w:tmpl w:val="EA7C288E"/>
    <w:lvl w:ilvl="0" w:tplc="FD962096">
      <w:start w:val="1"/>
      <w:numFmt w:val="bullet"/>
      <w:lvlText w:val=""/>
      <w:lvlJc w:val="left"/>
      <w:pPr>
        <w:ind w:left="360" w:hanging="360"/>
      </w:pPr>
      <w:rPr>
        <w:rFonts w:ascii="Symbol" w:hAnsi="Symbol" w:hint="default"/>
        <w:color w:val="1F497D" w:themeColor="text2"/>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7">
    <w:nsid w:val="516B4E5E"/>
    <w:multiLevelType w:val="hybridMultilevel"/>
    <w:tmpl w:val="9E58219C"/>
    <w:lvl w:ilvl="0" w:tplc="FD962096">
      <w:start w:val="1"/>
      <w:numFmt w:val="bullet"/>
      <w:lvlText w:val=""/>
      <w:lvlJc w:val="left"/>
      <w:pPr>
        <w:ind w:left="360" w:hanging="360"/>
      </w:pPr>
      <w:rPr>
        <w:rFonts w:ascii="Symbol" w:hAnsi="Symbol" w:hint="default"/>
        <w:color w:val="1F497D" w:themeColor="text2"/>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B405E0C"/>
    <w:multiLevelType w:val="hybridMultilevel"/>
    <w:tmpl w:val="8C1465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B4652BB"/>
    <w:multiLevelType w:val="multilevel"/>
    <w:tmpl w:val="9E58219C"/>
    <w:numStyleLink w:val="1"/>
  </w:abstractNum>
  <w:abstractNum w:abstractNumId="10">
    <w:nsid w:val="674E72ED"/>
    <w:multiLevelType w:val="multilevel"/>
    <w:tmpl w:val="32F8B654"/>
    <w:lvl w:ilvl="0">
      <w:start w:val="1"/>
      <w:numFmt w:val="decimal"/>
      <w:lvlText w:val="%1."/>
      <w:lvlJc w:val="left"/>
      <w:pPr>
        <w:ind w:left="360" w:hanging="360"/>
      </w:pPr>
    </w:lvl>
    <w:lvl w:ilvl="1">
      <w:start w:val="1"/>
      <w:numFmt w:val="decimal"/>
      <w:pStyle w:val="a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10"/>
  </w:num>
  <w:num w:numId="4">
    <w:abstractNumId w:val="0"/>
  </w:num>
  <w:num w:numId="5">
    <w:abstractNumId w:val="8"/>
  </w:num>
  <w:num w:numId="6">
    <w:abstractNumId w:val="1"/>
  </w:num>
  <w:num w:numId="7">
    <w:abstractNumId w:val="9"/>
  </w:num>
  <w:num w:numId="8">
    <w:abstractNumId w:val="3"/>
  </w:num>
  <w:num w:numId="9">
    <w:abstractNumId w:val="2"/>
  </w:num>
  <w:num w:numId="10">
    <w:abstractNumId w:val="4"/>
  </w:num>
  <w:num w:numId="11">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9"/>
  <w:characterSpacingControl w:val="doNotCompress"/>
  <w:hdrShapeDefaults>
    <o:shapedefaults v:ext="edit" spidmax="14338"/>
  </w:hdrShapeDefaults>
  <w:footnotePr>
    <w:footnote w:id="0"/>
    <w:footnote w:id="1"/>
  </w:footnotePr>
  <w:endnotePr>
    <w:endnote w:id="0"/>
    <w:endnote w:id="1"/>
  </w:endnotePr>
  <w:compat>
    <w:useFELayout/>
  </w:compat>
  <w:rsids>
    <w:rsidRoot w:val="00865E92"/>
    <w:rsid w:val="00006F8C"/>
    <w:rsid w:val="00007519"/>
    <w:rsid w:val="000119F5"/>
    <w:rsid w:val="0001395E"/>
    <w:rsid w:val="00015838"/>
    <w:rsid w:val="000172B2"/>
    <w:rsid w:val="00022D08"/>
    <w:rsid w:val="000352FB"/>
    <w:rsid w:val="00036D60"/>
    <w:rsid w:val="00042C76"/>
    <w:rsid w:val="000431B6"/>
    <w:rsid w:val="00043D35"/>
    <w:rsid w:val="00044080"/>
    <w:rsid w:val="00045468"/>
    <w:rsid w:val="00045E72"/>
    <w:rsid w:val="000470F1"/>
    <w:rsid w:val="00055B61"/>
    <w:rsid w:val="00057909"/>
    <w:rsid w:val="000608D8"/>
    <w:rsid w:val="0006125A"/>
    <w:rsid w:val="000677DA"/>
    <w:rsid w:val="00072150"/>
    <w:rsid w:val="00072DE7"/>
    <w:rsid w:val="000800B1"/>
    <w:rsid w:val="0008202D"/>
    <w:rsid w:val="000850D2"/>
    <w:rsid w:val="00086F98"/>
    <w:rsid w:val="00096CF9"/>
    <w:rsid w:val="000A1F5C"/>
    <w:rsid w:val="000B25F3"/>
    <w:rsid w:val="000C1225"/>
    <w:rsid w:val="000C3C2D"/>
    <w:rsid w:val="000D6477"/>
    <w:rsid w:val="000D707B"/>
    <w:rsid w:val="000E3298"/>
    <w:rsid w:val="000E3B78"/>
    <w:rsid w:val="000E7317"/>
    <w:rsid w:val="000E7C75"/>
    <w:rsid w:val="000F07C4"/>
    <w:rsid w:val="000F4690"/>
    <w:rsid w:val="000F59E4"/>
    <w:rsid w:val="001066FB"/>
    <w:rsid w:val="0010693D"/>
    <w:rsid w:val="001113E0"/>
    <w:rsid w:val="00111C67"/>
    <w:rsid w:val="00112C59"/>
    <w:rsid w:val="00116D03"/>
    <w:rsid w:val="00117C2B"/>
    <w:rsid w:val="001212D1"/>
    <w:rsid w:val="001216C6"/>
    <w:rsid w:val="0012418E"/>
    <w:rsid w:val="00124AA8"/>
    <w:rsid w:val="001311D1"/>
    <w:rsid w:val="00133325"/>
    <w:rsid w:val="0013541A"/>
    <w:rsid w:val="00140ED7"/>
    <w:rsid w:val="00144EBB"/>
    <w:rsid w:val="00151156"/>
    <w:rsid w:val="001647A9"/>
    <w:rsid w:val="001668E2"/>
    <w:rsid w:val="00172050"/>
    <w:rsid w:val="001751E9"/>
    <w:rsid w:val="00176DA5"/>
    <w:rsid w:val="00176DAA"/>
    <w:rsid w:val="00182442"/>
    <w:rsid w:val="00183630"/>
    <w:rsid w:val="00184F7E"/>
    <w:rsid w:val="0019318C"/>
    <w:rsid w:val="001951FA"/>
    <w:rsid w:val="001A0EF9"/>
    <w:rsid w:val="001B4AD4"/>
    <w:rsid w:val="001C0085"/>
    <w:rsid w:val="001C3F89"/>
    <w:rsid w:val="001C413C"/>
    <w:rsid w:val="001C53FE"/>
    <w:rsid w:val="001D231C"/>
    <w:rsid w:val="001D5AA9"/>
    <w:rsid w:val="001E23F7"/>
    <w:rsid w:val="001E5551"/>
    <w:rsid w:val="001E57E7"/>
    <w:rsid w:val="001F1940"/>
    <w:rsid w:val="001F4A5C"/>
    <w:rsid w:val="00201BFD"/>
    <w:rsid w:val="00202BFE"/>
    <w:rsid w:val="00206AD0"/>
    <w:rsid w:val="002127A4"/>
    <w:rsid w:val="002207B4"/>
    <w:rsid w:val="0022426F"/>
    <w:rsid w:val="0023659C"/>
    <w:rsid w:val="00236CCF"/>
    <w:rsid w:val="002429B4"/>
    <w:rsid w:val="00246F62"/>
    <w:rsid w:val="002474C7"/>
    <w:rsid w:val="0025485B"/>
    <w:rsid w:val="00254A3B"/>
    <w:rsid w:val="0025579C"/>
    <w:rsid w:val="00257A99"/>
    <w:rsid w:val="00257C0B"/>
    <w:rsid w:val="00261282"/>
    <w:rsid w:val="00265023"/>
    <w:rsid w:val="00265481"/>
    <w:rsid w:val="0026641C"/>
    <w:rsid w:val="00266799"/>
    <w:rsid w:val="002903A2"/>
    <w:rsid w:val="002912F0"/>
    <w:rsid w:val="00293354"/>
    <w:rsid w:val="002942E9"/>
    <w:rsid w:val="00295DFB"/>
    <w:rsid w:val="002A058A"/>
    <w:rsid w:val="002A3A58"/>
    <w:rsid w:val="002A7788"/>
    <w:rsid w:val="002B4873"/>
    <w:rsid w:val="002C18C2"/>
    <w:rsid w:val="002C3C24"/>
    <w:rsid w:val="002C49EE"/>
    <w:rsid w:val="002D1904"/>
    <w:rsid w:val="002D53A0"/>
    <w:rsid w:val="002D6D50"/>
    <w:rsid w:val="002E1712"/>
    <w:rsid w:val="002F6E04"/>
    <w:rsid w:val="0030157E"/>
    <w:rsid w:val="0030554B"/>
    <w:rsid w:val="003078E3"/>
    <w:rsid w:val="0031400F"/>
    <w:rsid w:val="0031792A"/>
    <w:rsid w:val="00320079"/>
    <w:rsid w:val="003208A8"/>
    <w:rsid w:val="00323CAC"/>
    <w:rsid w:val="0032640E"/>
    <w:rsid w:val="003309DC"/>
    <w:rsid w:val="00340B9B"/>
    <w:rsid w:val="003417C5"/>
    <w:rsid w:val="00342293"/>
    <w:rsid w:val="00342A0F"/>
    <w:rsid w:val="00343379"/>
    <w:rsid w:val="00343DCA"/>
    <w:rsid w:val="00353FDB"/>
    <w:rsid w:val="00354AC2"/>
    <w:rsid w:val="00356CE3"/>
    <w:rsid w:val="00357B10"/>
    <w:rsid w:val="00362F2C"/>
    <w:rsid w:val="0036324B"/>
    <w:rsid w:val="00366F2C"/>
    <w:rsid w:val="0037046F"/>
    <w:rsid w:val="0037258D"/>
    <w:rsid w:val="00374AF3"/>
    <w:rsid w:val="003750D3"/>
    <w:rsid w:val="00375C12"/>
    <w:rsid w:val="003808FA"/>
    <w:rsid w:val="0039589C"/>
    <w:rsid w:val="003A2836"/>
    <w:rsid w:val="003B64D4"/>
    <w:rsid w:val="003C1E63"/>
    <w:rsid w:val="003C5405"/>
    <w:rsid w:val="003D0D59"/>
    <w:rsid w:val="003E165F"/>
    <w:rsid w:val="003E20D5"/>
    <w:rsid w:val="003E5B9B"/>
    <w:rsid w:val="003F3974"/>
    <w:rsid w:val="00401088"/>
    <w:rsid w:val="004068E1"/>
    <w:rsid w:val="00407686"/>
    <w:rsid w:val="004110EB"/>
    <w:rsid w:val="00412007"/>
    <w:rsid w:val="00413506"/>
    <w:rsid w:val="00415BB7"/>
    <w:rsid w:val="004213C8"/>
    <w:rsid w:val="00421C4E"/>
    <w:rsid w:val="00426596"/>
    <w:rsid w:val="00430190"/>
    <w:rsid w:val="00432101"/>
    <w:rsid w:val="00435A22"/>
    <w:rsid w:val="00441495"/>
    <w:rsid w:val="0044196C"/>
    <w:rsid w:val="004466FF"/>
    <w:rsid w:val="00453E43"/>
    <w:rsid w:val="00454696"/>
    <w:rsid w:val="0045630C"/>
    <w:rsid w:val="004625F3"/>
    <w:rsid w:val="00464305"/>
    <w:rsid w:val="00465387"/>
    <w:rsid w:val="00465882"/>
    <w:rsid w:val="004716EC"/>
    <w:rsid w:val="004745E3"/>
    <w:rsid w:val="0047532B"/>
    <w:rsid w:val="004759A3"/>
    <w:rsid w:val="004761A9"/>
    <w:rsid w:val="00480BE9"/>
    <w:rsid w:val="00480F77"/>
    <w:rsid w:val="004836D2"/>
    <w:rsid w:val="004848AD"/>
    <w:rsid w:val="00487C4B"/>
    <w:rsid w:val="00490204"/>
    <w:rsid w:val="00490686"/>
    <w:rsid w:val="004955FF"/>
    <w:rsid w:val="00495A37"/>
    <w:rsid w:val="00496209"/>
    <w:rsid w:val="004A1D5A"/>
    <w:rsid w:val="004A5A2B"/>
    <w:rsid w:val="004A6C0C"/>
    <w:rsid w:val="004B4A11"/>
    <w:rsid w:val="004B661C"/>
    <w:rsid w:val="004B6CD0"/>
    <w:rsid w:val="004B764D"/>
    <w:rsid w:val="004C1D2B"/>
    <w:rsid w:val="004C228B"/>
    <w:rsid w:val="004C23BB"/>
    <w:rsid w:val="004C2C07"/>
    <w:rsid w:val="004C5D96"/>
    <w:rsid w:val="004C6F58"/>
    <w:rsid w:val="004C6F95"/>
    <w:rsid w:val="004D056B"/>
    <w:rsid w:val="004D31BF"/>
    <w:rsid w:val="004D7A44"/>
    <w:rsid w:val="004E1FB0"/>
    <w:rsid w:val="004E36E8"/>
    <w:rsid w:val="004E648B"/>
    <w:rsid w:val="004E7B39"/>
    <w:rsid w:val="004E7BC5"/>
    <w:rsid w:val="004F1439"/>
    <w:rsid w:val="004F20D9"/>
    <w:rsid w:val="004F5BFF"/>
    <w:rsid w:val="00500880"/>
    <w:rsid w:val="0050629C"/>
    <w:rsid w:val="00506838"/>
    <w:rsid w:val="0051560D"/>
    <w:rsid w:val="00525E1C"/>
    <w:rsid w:val="00526771"/>
    <w:rsid w:val="005278A0"/>
    <w:rsid w:val="00530A13"/>
    <w:rsid w:val="00533A64"/>
    <w:rsid w:val="00537A75"/>
    <w:rsid w:val="00546897"/>
    <w:rsid w:val="005469C3"/>
    <w:rsid w:val="0055516C"/>
    <w:rsid w:val="005554DE"/>
    <w:rsid w:val="00564819"/>
    <w:rsid w:val="005706F6"/>
    <w:rsid w:val="00574DA8"/>
    <w:rsid w:val="00575F7F"/>
    <w:rsid w:val="00575FD7"/>
    <w:rsid w:val="005760B7"/>
    <w:rsid w:val="00576508"/>
    <w:rsid w:val="00577112"/>
    <w:rsid w:val="005815A4"/>
    <w:rsid w:val="005825AF"/>
    <w:rsid w:val="00597341"/>
    <w:rsid w:val="00597ED1"/>
    <w:rsid w:val="005A1FAC"/>
    <w:rsid w:val="005A2C1C"/>
    <w:rsid w:val="005B3F35"/>
    <w:rsid w:val="005B684E"/>
    <w:rsid w:val="005C263B"/>
    <w:rsid w:val="005C6E83"/>
    <w:rsid w:val="005C736A"/>
    <w:rsid w:val="005D0994"/>
    <w:rsid w:val="005D2883"/>
    <w:rsid w:val="005D69DF"/>
    <w:rsid w:val="005E37A6"/>
    <w:rsid w:val="005F12A3"/>
    <w:rsid w:val="005F1312"/>
    <w:rsid w:val="005F3DD2"/>
    <w:rsid w:val="005F7DDA"/>
    <w:rsid w:val="00600F16"/>
    <w:rsid w:val="00611B54"/>
    <w:rsid w:val="00612DD0"/>
    <w:rsid w:val="00615533"/>
    <w:rsid w:val="006161FE"/>
    <w:rsid w:val="00622DC7"/>
    <w:rsid w:val="006235AB"/>
    <w:rsid w:val="00632331"/>
    <w:rsid w:val="00632E6B"/>
    <w:rsid w:val="00633D4A"/>
    <w:rsid w:val="00634C24"/>
    <w:rsid w:val="00640DF6"/>
    <w:rsid w:val="00642A25"/>
    <w:rsid w:val="006451AB"/>
    <w:rsid w:val="00647B97"/>
    <w:rsid w:val="00653BA7"/>
    <w:rsid w:val="00654DAA"/>
    <w:rsid w:val="00654E61"/>
    <w:rsid w:val="006566C9"/>
    <w:rsid w:val="00661CA8"/>
    <w:rsid w:val="00663C35"/>
    <w:rsid w:val="006666C8"/>
    <w:rsid w:val="00683C8E"/>
    <w:rsid w:val="0069366A"/>
    <w:rsid w:val="006960FC"/>
    <w:rsid w:val="006A0438"/>
    <w:rsid w:val="006A4269"/>
    <w:rsid w:val="006B2ECB"/>
    <w:rsid w:val="006B6429"/>
    <w:rsid w:val="006C1E99"/>
    <w:rsid w:val="006C2230"/>
    <w:rsid w:val="006C4ECC"/>
    <w:rsid w:val="006D0117"/>
    <w:rsid w:val="006D266D"/>
    <w:rsid w:val="006D2A10"/>
    <w:rsid w:val="006E604A"/>
    <w:rsid w:val="006F1DAC"/>
    <w:rsid w:val="006F33F1"/>
    <w:rsid w:val="006F76C9"/>
    <w:rsid w:val="00703273"/>
    <w:rsid w:val="00703C77"/>
    <w:rsid w:val="00703FF8"/>
    <w:rsid w:val="00704945"/>
    <w:rsid w:val="007069C2"/>
    <w:rsid w:val="007070F1"/>
    <w:rsid w:val="00711DCE"/>
    <w:rsid w:val="00711F0E"/>
    <w:rsid w:val="00716775"/>
    <w:rsid w:val="00720B20"/>
    <w:rsid w:val="007218BB"/>
    <w:rsid w:val="007255C5"/>
    <w:rsid w:val="00727B47"/>
    <w:rsid w:val="0073240C"/>
    <w:rsid w:val="00732CEB"/>
    <w:rsid w:val="007339C4"/>
    <w:rsid w:val="00734A4C"/>
    <w:rsid w:val="00745575"/>
    <w:rsid w:val="00745EE6"/>
    <w:rsid w:val="00746988"/>
    <w:rsid w:val="00750B77"/>
    <w:rsid w:val="00765B29"/>
    <w:rsid w:val="0076758B"/>
    <w:rsid w:val="00770DCC"/>
    <w:rsid w:val="007713CC"/>
    <w:rsid w:val="0077200F"/>
    <w:rsid w:val="00774EEE"/>
    <w:rsid w:val="00776F88"/>
    <w:rsid w:val="00784795"/>
    <w:rsid w:val="00785A4B"/>
    <w:rsid w:val="00785E1C"/>
    <w:rsid w:val="00786654"/>
    <w:rsid w:val="00786902"/>
    <w:rsid w:val="00787266"/>
    <w:rsid w:val="00793E12"/>
    <w:rsid w:val="007A0243"/>
    <w:rsid w:val="007B0A52"/>
    <w:rsid w:val="007B1734"/>
    <w:rsid w:val="007B5F08"/>
    <w:rsid w:val="007B6389"/>
    <w:rsid w:val="007C1F1E"/>
    <w:rsid w:val="007C51E1"/>
    <w:rsid w:val="007C58B4"/>
    <w:rsid w:val="007C6361"/>
    <w:rsid w:val="007D3F39"/>
    <w:rsid w:val="007D42CF"/>
    <w:rsid w:val="007D5B91"/>
    <w:rsid w:val="007E73BD"/>
    <w:rsid w:val="007F268D"/>
    <w:rsid w:val="007F7F47"/>
    <w:rsid w:val="008034E3"/>
    <w:rsid w:val="00807324"/>
    <w:rsid w:val="008110DE"/>
    <w:rsid w:val="00811386"/>
    <w:rsid w:val="00813CC7"/>
    <w:rsid w:val="0081427D"/>
    <w:rsid w:val="008146B7"/>
    <w:rsid w:val="008164D9"/>
    <w:rsid w:val="00823E9D"/>
    <w:rsid w:val="0082417E"/>
    <w:rsid w:val="0083217B"/>
    <w:rsid w:val="00834C93"/>
    <w:rsid w:val="00843A7B"/>
    <w:rsid w:val="00844993"/>
    <w:rsid w:val="0084553D"/>
    <w:rsid w:val="00845DB1"/>
    <w:rsid w:val="0084735E"/>
    <w:rsid w:val="00850353"/>
    <w:rsid w:val="008526E4"/>
    <w:rsid w:val="008636CD"/>
    <w:rsid w:val="00865E92"/>
    <w:rsid w:val="00876387"/>
    <w:rsid w:val="00882A09"/>
    <w:rsid w:val="00885009"/>
    <w:rsid w:val="008871DE"/>
    <w:rsid w:val="008872C1"/>
    <w:rsid w:val="0089165A"/>
    <w:rsid w:val="00895509"/>
    <w:rsid w:val="00895F07"/>
    <w:rsid w:val="008963CE"/>
    <w:rsid w:val="008A6883"/>
    <w:rsid w:val="008A6AA0"/>
    <w:rsid w:val="008B2645"/>
    <w:rsid w:val="008B2652"/>
    <w:rsid w:val="008B2E61"/>
    <w:rsid w:val="008B3321"/>
    <w:rsid w:val="008B3C6F"/>
    <w:rsid w:val="008B5DBC"/>
    <w:rsid w:val="008B7452"/>
    <w:rsid w:val="008B78B5"/>
    <w:rsid w:val="008C154F"/>
    <w:rsid w:val="008C3B65"/>
    <w:rsid w:val="008C48EC"/>
    <w:rsid w:val="008D0B25"/>
    <w:rsid w:val="008D421C"/>
    <w:rsid w:val="008E59C8"/>
    <w:rsid w:val="009014FA"/>
    <w:rsid w:val="00901F2A"/>
    <w:rsid w:val="0090486C"/>
    <w:rsid w:val="00907916"/>
    <w:rsid w:val="00913045"/>
    <w:rsid w:val="00913322"/>
    <w:rsid w:val="00921497"/>
    <w:rsid w:val="00921A29"/>
    <w:rsid w:val="00926E74"/>
    <w:rsid w:val="00927982"/>
    <w:rsid w:val="00930C14"/>
    <w:rsid w:val="009312FA"/>
    <w:rsid w:val="00933292"/>
    <w:rsid w:val="009363C9"/>
    <w:rsid w:val="0094255E"/>
    <w:rsid w:val="00950300"/>
    <w:rsid w:val="00954773"/>
    <w:rsid w:val="00955E31"/>
    <w:rsid w:val="00960243"/>
    <w:rsid w:val="009671E0"/>
    <w:rsid w:val="009676FE"/>
    <w:rsid w:val="00972087"/>
    <w:rsid w:val="009733DF"/>
    <w:rsid w:val="00973E0E"/>
    <w:rsid w:val="009756EB"/>
    <w:rsid w:val="00976DE8"/>
    <w:rsid w:val="009946BA"/>
    <w:rsid w:val="009A0232"/>
    <w:rsid w:val="009A295F"/>
    <w:rsid w:val="009A550B"/>
    <w:rsid w:val="009B2FB2"/>
    <w:rsid w:val="009B578C"/>
    <w:rsid w:val="009B5BDE"/>
    <w:rsid w:val="009B6C9A"/>
    <w:rsid w:val="009C1257"/>
    <w:rsid w:val="009C38EB"/>
    <w:rsid w:val="009D11C0"/>
    <w:rsid w:val="009D1AC4"/>
    <w:rsid w:val="009D7C63"/>
    <w:rsid w:val="009E0B87"/>
    <w:rsid w:val="009E30C3"/>
    <w:rsid w:val="009E630E"/>
    <w:rsid w:val="009E7032"/>
    <w:rsid w:val="009E73A7"/>
    <w:rsid w:val="009F1DD8"/>
    <w:rsid w:val="009F33B1"/>
    <w:rsid w:val="009F7F6D"/>
    <w:rsid w:val="00A01E04"/>
    <w:rsid w:val="00A0280D"/>
    <w:rsid w:val="00A04432"/>
    <w:rsid w:val="00A045F3"/>
    <w:rsid w:val="00A10388"/>
    <w:rsid w:val="00A10E00"/>
    <w:rsid w:val="00A16324"/>
    <w:rsid w:val="00A244F9"/>
    <w:rsid w:val="00A445C5"/>
    <w:rsid w:val="00A45226"/>
    <w:rsid w:val="00A4636A"/>
    <w:rsid w:val="00A47146"/>
    <w:rsid w:val="00A50D97"/>
    <w:rsid w:val="00A55C57"/>
    <w:rsid w:val="00A5653A"/>
    <w:rsid w:val="00A57BCD"/>
    <w:rsid w:val="00A60342"/>
    <w:rsid w:val="00A65621"/>
    <w:rsid w:val="00A7079B"/>
    <w:rsid w:val="00A70CC1"/>
    <w:rsid w:val="00A71C88"/>
    <w:rsid w:val="00A71F0D"/>
    <w:rsid w:val="00A75C18"/>
    <w:rsid w:val="00A83C95"/>
    <w:rsid w:val="00A87918"/>
    <w:rsid w:val="00A919AB"/>
    <w:rsid w:val="00A950B6"/>
    <w:rsid w:val="00AC02E9"/>
    <w:rsid w:val="00AC4784"/>
    <w:rsid w:val="00AC4803"/>
    <w:rsid w:val="00AD20D4"/>
    <w:rsid w:val="00AD2982"/>
    <w:rsid w:val="00AD2A1C"/>
    <w:rsid w:val="00AE0FF2"/>
    <w:rsid w:val="00AE1472"/>
    <w:rsid w:val="00AF6343"/>
    <w:rsid w:val="00B0071A"/>
    <w:rsid w:val="00B121D8"/>
    <w:rsid w:val="00B12703"/>
    <w:rsid w:val="00B1732A"/>
    <w:rsid w:val="00B37505"/>
    <w:rsid w:val="00B40323"/>
    <w:rsid w:val="00B405F3"/>
    <w:rsid w:val="00B454A2"/>
    <w:rsid w:val="00B458B3"/>
    <w:rsid w:val="00B52118"/>
    <w:rsid w:val="00B54F9C"/>
    <w:rsid w:val="00B70766"/>
    <w:rsid w:val="00B758B7"/>
    <w:rsid w:val="00B834B6"/>
    <w:rsid w:val="00B8509E"/>
    <w:rsid w:val="00B86DEB"/>
    <w:rsid w:val="00B90FFF"/>
    <w:rsid w:val="00B91187"/>
    <w:rsid w:val="00B937B7"/>
    <w:rsid w:val="00B9565F"/>
    <w:rsid w:val="00B971C6"/>
    <w:rsid w:val="00BA0D7B"/>
    <w:rsid w:val="00BA4E6C"/>
    <w:rsid w:val="00BA5A36"/>
    <w:rsid w:val="00BA5C55"/>
    <w:rsid w:val="00BB1F38"/>
    <w:rsid w:val="00BB4084"/>
    <w:rsid w:val="00BB68D5"/>
    <w:rsid w:val="00BB7320"/>
    <w:rsid w:val="00BC4A9C"/>
    <w:rsid w:val="00BD1C01"/>
    <w:rsid w:val="00BD2B17"/>
    <w:rsid w:val="00BE4190"/>
    <w:rsid w:val="00BE4FB1"/>
    <w:rsid w:val="00BE7608"/>
    <w:rsid w:val="00BF32C6"/>
    <w:rsid w:val="00C028F0"/>
    <w:rsid w:val="00C02AEA"/>
    <w:rsid w:val="00C02F19"/>
    <w:rsid w:val="00C1038E"/>
    <w:rsid w:val="00C12712"/>
    <w:rsid w:val="00C1554E"/>
    <w:rsid w:val="00C17E9B"/>
    <w:rsid w:val="00C2030D"/>
    <w:rsid w:val="00C21845"/>
    <w:rsid w:val="00C3196E"/>
    <w:rsid w:val="00C337BE"/>
    <w:rsid w:val="00C41A0A"/>
    <w:rsid w:val="00C45272"/>
    <w:rsid w:val="00C46FE8"/>
    <w:rsid w:val="00C507CA"/>
    <w:rsid w:val="00C50A06"/>
    <w:rsid w:val="00C52390"/>
    <w:rsid w:val="00C52D56"/>
    <w:rsid w:val="00C54F17"/>
    <w:rsid w:val="00C635AE"/>
    <w:rsid w:val="00C661EF"/>
    <w:rsid w:val="00C73A28"/>
    <w:rsid w:val="00C77262"/>
    <w:rsid w:val="00C775CB"/>
    <w:rsid w:val="00C811EC"/>
    <w:rsid w:val="00C85625"/>
    <w:rsid w:val="00C87134"/>
    <w:rsid w:val="00C87200"/>
    <w:rsid w:val="00C90B41"/>
    <w:rsid w:val="00C91049"/>
    <w:rsid w:val="00C9570B"/>
    <w:rsid w:val="00C967DD"/>
    <w:rsid w:val="00C97CBC"/>
    <w:rsid w:val="00CA5820"/>
    <w:rsid w:val="00CB27B1"/>
    <w:rsid w:val="00CB3341"/>
    <w:rsid w:val="00CB6271"/>
    <w:rsid w:val="00CC1545"/>
    <w:rsid w:val="00CC2B3A"/>
    <w:rsid w:val="00CD1CAC"/>
    <w:rsid w:val="00CD2857"/>
    <w:rsid w:val="00CD65B1"/>
    <w:rsid w:val="00CE2D37"/>
    <w:rsid w:val="00CE3552"/>
    <w:rsid w:val="00CE45FE"/>
    <w:rsid w:val="00CE6719"/>
    <w:rsid w:val="00CE763B"/>
    <w:rsid w:val="00CF3FFB"/>
    <w:rsid w:val="00D0129C"/>
    <w:rsid w:val="00D04039"/>
    <w:rsid w:val="00D122F4"/>
    <w:rsid w:val="00D20E68"/>
    <w:rsid w:val="00D21389"/>
    <w:rsid w:val="00D22E17"/>
    <w:rsid w:val="00D23C1C"/>
    <w:rsid w:val="00D26AC3"/>
    <w:rsid w:val="00D30C45"/>
    <w:rsid w:val="00D34FEE"/>
    <w:rsid w:val="00D35162"/>
    <w:rsid w:val="00D426BD"/>
    <w:rsid w:val="00D44A2F"/>
    <w:rsid w:val="00D576C2"/>
    <w:rsid w:val="00D63451"/>
    <w:rsid w:val="00D63AED"/>
    <w:rsid w:val="00D63FEA"/>
    <w:rsid w:val="00D640E9"/>
    <w:rsid w:val="00D66F66"/>
    <w:rsid w:val="00D70D84"/>
    <w:rsid w:val="00D72EA0"/>
    <w:rsid w:val="00D77736"/>
    <w:rsid w:val="00D803FA"/>
    <w:rsid w:val="00D8154E"/>
    <w:rsid w:val="00D84ABD"/>
    <w:rsid w:val="00D86F2F"/>
    <w:rsid w:val="00D92B1F"/>
    <w:rsid w:val="00D95941"/>
    <w:rsid w:val="00D96702"/>
    <w:rsid w:val="00DA18BE"/>
    <w:rsid w:val="00DA407C"/>
    <w:rsid w:val="00DA4173"/>
    <w:rsid w:val="00DA531C"/>
    <w:rsid w:val="00DA5C68"/>
    <w:rsid w:val="00DB175B"/>
    <w:rsid w:val="00DB3959"/>
    <w:rsid w:val="00DB40FC"/>
    <w:rsid w:val="00DB4278"/>
    <w:rsid w:val="00DB57E0"/>
    <w:rsid w:val="00DB6607"/>
    <w:rsid w:val="00DC25D4"/>
    <w:rsid w:val="00DC28CA"/>
    <w:rsid w:val="00DC7DC7"/>
    <w:rsid w:val="00DD10B7"/>
    <w:rsid w:val="00DD1D19"/>
    <w:rsid w:val="00DD231F"/>
    <w:rsid w:val="00DD68D2"/>
    <w:rsid w:val="00DD7CDD"/>
    <w:rsid w:val="00DE3E5A"/>
    <w:rsid w:val="00DE449A"/>
    <w:rsid w:val="00DE4894"/>
    <w:rsid w:val="00DE4CDC"/>
    <w:rsid w:val="00DE4EB2"/>
    <w:rsid w:val="00DE609C"/>
    <w:rsid w:val="00DE662A"/>
    <w:rsid w:val="00DF403F"/>
    <w:rsid w:val="00DF40EA"/>
    <w:rsid w:val="00DF58C3"/>
    <w:rsid w:val="00E065C8"/>
    <w:rsid w:val="00E15A9F"/>
    <w:rsid w:val="00E15D33"/>
    <w:rsid w:val="00E21E91"/>
    <w:rsid w:val="00E226F3"/>
    <w:rsid w:val="00E243B7"/>
    <w:rsid w:val="00E245F2"/>
    <w:rsid w:val="00E27351"/>
    <w:rsid w:val="00E3224D"/>
    <w:rsid w:val="00E347EC"/>
    <w:rsid w:val="00E360A5"/>
    <w:rsid w:val="00E37083"/>
    <w:rsid w:val="00E41872"/>
    <w:rsid w:val="00E43610"/>
    <w:rsid w:val="00E44B26"/>
    <w:rsid w:val="00E5659E"/>
    <w:rsid w:val="00E575D6"/>
    <w:rsid w:val="00E61166"/>
    <w:rsid w:val="00E66E01"/>
    <w:rsid w:val="00E673E3"/>
    <w:rsid w:val="00E757B9"/>
    <w:rsid w:val="00E77FAA"/>
    <w:rsid w:val="00E819A2"/>
    <w:rsid w:val="00E84667"/>
    <w:rsid w:val="00E8632C"/>
    <w:rsid w:val="00E91B39"/>
    <w:rsid w:val="00EA1688"/>
    <w:rsid w:val="00EA3B99"/>
    <w:rsid w:val="00EA54B5"/>
    <w:rsid w:val="00EB444A"/>
    <w:rsid w:val="00EB5278"/>
    <w:rsid w:val="00EB6508"/>
    <w:rsid w:val="00EB7AAA"/>
    <w:rsid w:val="00EB7B4A"/>
    <w:rsid w:val="00EC556A"/>
    <w:rsid w:val="00EC6B9B"/>
    <w:rsid w:val="00ED0D5E"/>
    <w:rsid w:val="00ED6923"/>
    <w:rsid w:val="00EF6C3F"/>
    <w:rsid w:val="00F042D4"/>
    <w:rsid w:val="00F058FB"/>
    <w:rsid w:val="00F129AF"/>
    <w:rsid w:val="00F14BB6"/>
    <w:rsid w:val="00F14ED1"/>
    <w:rsid w:val="00F21A10"/>
    <w:rsid w:val="00F24AF2"/>
    <w:rsid w:val="00F25219"/>
    <w:rsid w:val="00F25CA0"/>
    <w:rsid w:val="00F2697D"/>
    <w:rsid w:val="00F40148"/>
    <w:rsid w:val="00F40D45"/>
    <w:rsid w:val="00F43C14"/>
    <w:rsid w:val="00F60756"/>
    <w:rsid w:val="00F62C51"/>
    <w:rsid w:val="00F6629B"/>
    <w:rsid w:val="00F740FE"/>
    <w:rsid w:val="00F80F66"/>
    <w:rsid w:val="00F818F8"/>
    <w:rsid w:val="00F81D24"/>
    <w:rsid w:val="00F81FC2"/>
    <w:rsid w:val="00F83C47"/>
    <w:rsid w:val="00F8743D"/>
    <w:rsid w:val="00F928A6"/>
    <w:rsid w:val="00F931CD"/>
    <w:rsid w:val="00F94EE2"/>
    <w:rsid w:val="00F96086"/>
    <w:rsid w:val="00FA1E09"/>
    <w:rsid w:val="00FA29D0"/>
    <w:rsid w:val="00FA422F"/>
    <w:rsid w:val="00FA5664"/>
    <w:rsid w:val="00FA5E10"/>
    <w:rsid w:val="00FA6FA0"/>
    <w:rsid w:val="00FB2D2B"/>
    <w:rsid w:val="00FB563F"/>
    <w:rsid w:val="00FB6B9D"/>
    <w:rsid w:val="00FC05F2"/>
    <w:rsid w:val="00FC08EE"/>
    <w:rsid w:val="00FC43A0"/>
    <w:rsid w:val="00FC58BE"/>
    <w:rsid w:val="00FC68B0"/>
    <w:rsid w:val="00FC7CC8"/>
    <w:rsid w:val="00FC7FEF"/>
    <w:rsid w:val="00FD5152"/>
    <w:rsid w:val="00FD6A98"/>
    <w:rsid w:val="00FD6C67"/>
    <w:rsid w:val="00FE5978"/>
    <w:rsid w:val="00FE75A1"/>
    <w:rsid w:val="00FF3EBD"/>
    <w:rsid w:val="00FF5A0B"/>
    <w:rsid w:val="00FF6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MSH"/>
    <w:qFormat/>
    <w:rsid w:val="00B1732A"/>
    <w:pPr>
      <w:spacing w:before="120" w:after="0"/>
      <w:ind w:firstLine="709"/>
      <w:jc w:val="both"/>
    </w:pPr>
    <w:rPr>
      <w:rFonts w:ascii="Times New Roman" w:hAnsi="Times New Roman"/>
      <w:sz w:val="24"/>
    </w:rPr>
  </w:style>
  <w:style w:type="paragraph" w:styleId="10">
    <w:name w:val="heading 1"/>
    <w:basedOn w:val="a1"/>
    <w:next w:val="a1"/>
    <w:link w:val="11"/>
    <w:qFormat/>
    <w:rsid w:val="00C967DD"/>
    <w:pPr>
      <w:keepNext/>
      <w:keepLines/>
      <w:pBdr>
        <w:bottom w:val="single" w:sz="8" w:space="1" w:color="365F91" w:themeColor="accent1" w:themeShade="BF"/>
      </w:pBdr>
      <w:spacing w:before="480"/>
      <w:ind w:firstLine="0"/>
      <w:jc w:val="center"/>
      <w:outlineLvl w:val="0"/>
    </w:pPr>
    <w:rPr>
      <w:rFonts w:asciiTheme="majorHAnsi" w:eastAsiaTheme="majorEastAsia" w:hAnsiTheme="majorHAnsi" w:cstheme="majorBidi"/>
      <w:b/>
      <w:bCs/>
      <w:color w:val="17365D" w:themeColor="text2" w:themeShade="BF"/>
      <w:sz w:val="28"/>
      <w:szCs w:val="28"/>
    </w:rPr>
  </w:style>
  <w:style w:type="paragraph" w:styleId="2">
    <w:name w:val="heading 2"/>
    <w:basedOn w:val="a1"/>
    <w:next w:val="a1"/>
    <w:link w:val="20"/>
    <w:unhideWhenUsed/>
    <w:qFormat/>
    <w:rsid w:val="00DD10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865E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865E9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865E92"/>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C967DD"/>
    <w:rPr>
      <w:rFonts w:asciiTheme="majorHAnsi" w:eastAsiaTheme="majorEastAsia" w:hAnsiTheme="majorHAnsi" w:cstheme="majorBidi"/>
      <w:b/>
      <w:bCs/>
      <w:color w:val="17365D" w:themeColor="text2" w:themeShade="BF"/>
      <w:sz w:val="28"/>
      <w:szCs w:val="28"/>
    </w:rPr>
  </w:style>
  <w:style w:type="character" w:customStyle="1" w:styleId="20">
    <w:name w:val="Заголовок 2 Знак"/>
    <w:basedOn w:val="a2"/>
    <w:link w:val="2"/>
    <w:rsid w:val="00DD10B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865E9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865E92"/>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rsid w:val="00865E92"/>
    <w:rPr>
      <w:rFonts w:asciiTheme="majorHAnsi" w:eastAsiaTheme="majorEastAsia" w:hAnsiTheme="majorHAnsi" w:cstheme="majorBidi"/>
      <w:color w:val="243F60" w:themeColor="accent1" w:themeShade="7F"/>
    </w:rPr>
  </w:style>
  <w:style w:type="paragraph" w:customStyle="1" w:styleId="Chap-Name">
    <w:name w:val="Chap-Name"/>
    <w:basedOn w:val="a1"/>
    <w:next w:val="5"/>
    <w:link w:val="Chap-Name0"/>
    <w:rsid w:val="00865E92"/>
    <w:pPr>
      <w:suppressAutoHyphens/>
      <w:spacing w:before="240" w:after="360" w:line="360" w:lineRule="auto"/>
      <w:ind w:left="737" w:right="113" w:hanging="170"/>
      <w:jc w:val="right"/>
    </w:pPr>
    <w:rPr>
      <w:rFonts w:ascii="Arial" w:eastAsia="SimSun" w:hAnsi="Arial" w:cs="Times New Roman"/>
      <w:b/>
      <w:color w:val="800080"/>
      <w:sz w:val="36"/>
      <w:szCs w:val="24"/>
      <w:lang w:eastAsia="zh-CN"/>
    </w:rPr>
  </w:style>
  <w:style w:type="character" w:customStyle="1" w:styleId="Chap-Name0">
    <w:name w:val="Chap-Name Знак"/>
    <w:basedOn w:val="a2"/>
    <w:link w:val="Chap-Name"/>
    <w:rsid w:val="00865E92"/>
    <w:rPr>
      <w:rFonts w:ascii="Arial" w:eastAsia="SimSun" w:hAnsi="Arial" w:cs="Times New Roman"/>
      <w:b/>
      <w:color w:val="800080"/>
      <w:sz w:val="36"/>
      <w:szCs w:val="24"/>
      <w:lang w:eastAsia="zh-CN"/>
    </w:rPr>
  </w:style>
  <w:style w:type="paragraph" w:customStyle="1" w:styleId="Text05">
    <w:name w:val="Text_05 Знак"/>
    <w:basedOn w:val="5"/>
    <w:link w:val="Text050"/>
    <w:rsid w:val="00865E92"/>
    <w:pPr>
      <w:keepNext w:val="0"/>
      <w:keepLines w:val="0"/>
      <w:widowControl w:val="0"/>
      <w:numPr>
        <w:ilvl w:val="12"/>
      </w:numPr>
      <w:overflowPunct w:val="0"/>
      <w:autoSpaceDE w:val="0"/>
      <w:autoSpaceDN w:val="0"/>
      <w:adjustRightInd w:val="0"/>
      <w:spacing w:before="80" w:after="40" w:line="240" w:lineRule="exact"/>
      <w:ind w:firstLine="709"/>
      <w:textAlignment w:val="baseline"/>
    </w:pPr>
    <w:rPr>
      <w:rFonts w:ascii="Times New Roman" w:eastAsia="SimSun" w:hAnsi="Times New Roman" w:cs="Times New Roman"/>
      <w:color w:val="000000"/>
      <w:lang w:eastAsia="zh-CN"/>
    </w:rPr>
  </w:style>
  <w:style w:type="character" w:customStyle="1" w:styleId="Text050">
    <w:name w:val="Text_05 Знак Знак"/>
    <w:basedOn w:val="a2"/>
    <w:link w:val="Text05"/>
    <w:rsid w:val="00865E92"/>
    <w:rPr>
      <w:rFonts w:ascii="Times New Roman" w:eastAsia="SimSun" w:hAnsi="Times New Roman" w:cs="Times New Roman"/>
      <w:color w:val="000000"/>
      <w:lang w:eastAsia="zh-CN"/>
    </w:rPr>
  </w:style>
  <w:style w:type="paragraph" w:customStyle="1" w:styleId="TextDrugs">
    <w:name w:val="Text_Drugs"/>
    <w:basedOn w:val="a1"/>
    <w:link w:val="TextDrugs0"/>
    <w:rsid w:val="00865E92"/>
    <w:pPr>
      <w:widowControl w:val="0"/>
      <w:overflowPunct w:val="0"/>
      <w:autoSpaceDE w:val="0"/>
      <w:autoSpaceDN w:val="0"/>
      <w:adjustRightInd w:val="0"/>
      <w:spacing w:before="40" w:after="40" w:line="220" w:lineRule="exact"/>
      <w:ind w:left="454" w:hanging="454"/>
      <w:textAlignment w:val="baseline"/>
    </w:pPr>
    <w:rPr>
      <w:rFonts w:eastAsia="SimSun" w:cs="Times New Roman"/>
      <w:color w:val="000000"/>
      <w:sz w:val="18"/>
      <w:szCs w:val="18"/>
      <w:lang w:eastAsia="zh-CN"/>
    </w:rPr>
  </w:style>
  <w:style w:type="character" w:customStyle="1" w:styleId="TextDrugs0">
    <w:name w:val="Text_Drugs Знак"/>
    <w:basedOn w:val="a2"/>
    <w:link w:val="TextDrugs"/>
    <w:rsid w:val="00865E92"/>
    <w:rPr>
      <w:rFonts w:ascii="Times New Roman" w:eastAsia="SimSun" w:hAnsi="Times New Roman" w:cs="Times New Roman"/>
      <w:color w:val="000000"/>
      <w:sz w:val="18"/>
      <w:szCs w:val="18"/>
      <w:lang w:eastAsia="zh-CN"/>
    </w:rPr>
  </w:style>
  <w:style w:type="paragraph" w:customStyle="1" w:styleId="Title03">
    <w:name w:val="Title_03"/>
    <w:basedOn w:val="3"/>
    <w:link w:val="Title030"/>
    <w:rsid w:val="00865E92"/>
    <w:pPr>
      <w:keepNext w:val="0"/>
      <w:keepLines w:val="0"/>
      <w:widowControl w:val="0"/>
      <w:overflowPunct w:val="0"/>
      <w:autoSpaceDE w:val="0"/>
      <w:autoSpaceDN w:val="0"/>
      <w:adjustRightInd w:val="0"/>
      <w:spacing w:before="240" w:after="120" w:line="280" w:lineRule="exact"/>
      <w:textAlignment w:val="baseline"/>
    </w:pPr>
    <w:rPr>
      <w:rFonts w:ascii="Arial" w:eastAsia="SimSun" w:hAnsi="Arial" w:cs="Times New Roman"/>
      <w:bCs w:val="0"/>
      <w:caps/>
      <w:color w:val="000080"/>
      <w:lang w:eastAsia="zh-CN"/>
    </w:rPr>
  </w:style>
  <w:style w:type="character" w:customStyle="1" w:styleId="Title030">
    <w:name w:val="Title_03 Знак"/>
    <w:basedOn w:val="a2"/>
    <w:link w:val="Title03"/>
    <w:rsid w:val="00865E92"/>
    <w:rPr>
      <w:rFonts w:ascii="Arial" w:eastAsia="SimSun" w:hAnsi="Arial" w:cs="Times New Roman"/>
      <w:b/>
      <w:caps/>
      <w:color w:val="000080"/>
      <w:lang w:eastAsia="zh-CN"/>
    </w:rPr>
  </w:style>
  <w:style w:type="paragraph" w:customStyle="1" w:styleId="Title04">
    <w:name w:val="Title_04"/>
    <w:basedOn w:val="4"/>
    <w:link w:val="Title040"/>
    <w:rsid w:val="00865E92"/>
    <w:pPr>
      <w:keepNext w:val="0"/>
      <w:keepLines w:val="0"/>
      <w:widowControl w:val="0"/>
      <w:overflowPunct w:val="0"/>
      <w:autoSpaceDE w:val="0"/>
      <w:autoSpaceDN w:val="0"/>
      <w:adjustRightInd w:val="0"/>
      <w:spacing w:before="120" w:after="40" w:line="240" w:lineRule="exact"/>
      <w:textAlignment w:val="baseline"/>
    </w:pPr>
    <w:rPr>
      <w:rFonts w:ascii="Times New Roman" w:eastAsia="SimSun" w:hAnsi="Times New Roman" w:cs="Times New Roman"/>
      <w:bCs w:val="0"/>
      <w:i w:val="0"/>
      <w:iCs w:val="0"/>
      <w:smallCaps/>
      <w:color w:val="800000"/>
      <w:szCs w:val="20"/>
      <w:lang w:eastAsia="zh-CN"/>
    </w:rPr>
  </w:style>
  <w:style w:type="character" w:customStyle="1" w:styleId="Title040">
    <w:name w:val="Title_04 Знак"/>
    <w:basedOn w:val="a2"/>
    <w:link w:val="Title04"/>
    <w:rsid w:val="00865E92"/>
    <w:rPr>
      <w:rFonts w:ascii="Times New Roman" w:eastAsia="SimSun" w:hAnsi="Times New Roman" w:cs="Times New Roman"/>
      <w:b/>
      <w:smallCaps/>
      <w:color w:val="800000"/>
      <w:sz w:val="24"/>
      <w:szCs w:val="20"/>
      <w:lang w:eastAsia="zh-CN"/>
    </w:rPr>
  </w:style>
  <w:style w:type="table" w:styleId="a5">
    <w:name w:val="Table Grid"/>
    <w:basedOn w:val="a3"/>
    <w:rsid w:val="00C45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ветлая заливка1"/>
    <w:basedOn w:val="a3"/>
    <w:uiPriority w:val="60"/>
    <w:rsid w:val="00C452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Shading Accent 3"/>
    <w:basedOn w:val="a3"/>
    <w:uiPriority w:val="60"/>
    <w:rsid w:val="00D44A2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D44A2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6">
    <w:name w:val="List Paragraph"/>
    <w:basedOn w:val="a1"/>
    <w:link w:val="a7"/>
    <w:uiPriority w:val="34"/>
    <w:qFormat/>
    <w:rsid w:val="00DB3959"/>
    <w:pPr>
      <w:ind w:left="720"/>
      <w:contextualSpacing/>
    </w:pPr>
  </w:style>
  <w:style w:type="character" w:customStyle="1" w:styleId="a7">
    <w:name w:val="Абзац списка Знак"/>
    <w:basedOn w:val="a2"/>
    <w:link w:val="a6"/>
    <w:uiPriority w:val="34"/>
    <w:rsid w:val="00F928A6"/>
    <w:rPr>
      <w:rFonts w:ascii="Times New Roman" w:hAnsi="Times New Roman"/>
      <w:sz w:val="24"/>
    </w:rPr>
  </w:style>
  <w:style w:type="paragraph" w:styleId="a8">
    <w:name w:val="header"/>
    <w:basedOn w:val="a1"/>
    <w:link w:val="a9"/>
    <w:unhideWhenUsed/>
    <w:rsid w:val="000F4690"/>
    <w:pPr>
      <w:tabs>
        <w:tab w:val="center" w:pos="4677"/>
        <w:tab w:val="right" w:pos="9355"/>
      </w:tabs>
      <w:spacing w:line="240" w:lineRule="auto"/>
    </w:pPr>
  </w:style>
  <w:style w:type="character" w:customStyle="1" w:styleId="a9">
    <w:name w:val="Верхний колонтитул Знак"/>
    <w:basedOn w:val="a2"/>
    <w:link w:val="a8"/>
    <w:rsid w:val="000F4690"/>
  </w:style>
  <w:style w:type="paragraph" w:styleId="aa">
    <w:name w:val="footer"/>
    <w:basedOn w:val="a1"/>
    <w:link w:val="ab"/>
    <w:unhideWhenUsed/>
    <w:rsid w:val="000F4690"/>
    <w:pPr>
      <w:tabs>
        <w:tab w:val="center" w:pos="4677"/>
        <w:tab w:val="right" w:pos="9355"/>
      </w:tabs>
      <w:spacing w:line="240" w:lineRule="auto"/>
    </w:pPr>
  </w:style>
  <w:style w:type="character" w:customStyle="1" w:styleId="ab">
    <w:name w:val="Нижний колонтитул Знак"/>
    <w:basedOn w:val="a2"/>
    <w:link w:val="aa"/>
    <w:rsid w:val="000F4690"/>
  </w:style>
  <w:style w:type="paragraph" w:customStyle="1" w:styleId="Index">
    <w:name w:val="Index"/>
    <w:basedOn w:val="a1"/>
    <w:uiPriority w:val="99"/>
    <w:rsid w:val="00430190"/>
    <w:pPr>
      <w:suppressLineNumbers/>
      <w:suppressAutoHyphens/>
      <w:autoSpaceDN w:val="0"/>
      <w:textAlignment w:val="baseline"/>
    </w:pPr>
    <w:rPr>
      <w:rFonts w:ascii="Calibri" w:eastAsia="Calibri" w:hAnsi="Calibri" w:cs="Mangal"/>
      <w:kern w:val="3"/>
    </w:rPr>
  </w:style>
  <w:style w:type="paragraph" w:styleId="ac">
    <w:name w:val="footnote text"/>
    <w:basedOn w:val="a1"/>
    <w:link w:val="ad"/>
    <w:semiHidden/>
    <w:unhideWhenUsed/>
    <w:rsid w:val="00465882"/>
    <w:pPr>
      <w:spacing w:line="240" w:lineRule="auto"/>
    </w:pPr>
    <w:rPr>
      <w:sz w:val="20"/>
      <w:szCs w:val="20"/>
    </w:rPr>
  </w:style>
  <w:style w:type="character" w:customStyle="1" w:styleId="ad">
    <w:name w:val="Текст сноски Знак"/>
    <w:basedOn w:val="a2"/>
    <w:link w:val="ac"/>
    <w:semiHidden/>
    <w:rsid w:val="00465882"/>
    <w:rPr>
      <w:sz w:val="20"/>
      <w:szCs w:val="20"/>
    </w:rPr>
  </w:style>
  <w:style w:type="character" w:styleId="ae">
    <w:name w:val="footnote reference"/>
    <w:basedOn w:val="a2"/>
    <w:semiHidden/>
    <w:unhideWhenUsed/>
    <w:rsid w:val="00465882"/>
    <w:rPr>
      <w:vertAlign w:val="superscript"/>
    </w:rPr>
  </w:style>
  <w:style w:type="paragraph" w:styleId="af">
    <w:name w:val="TOC Heading"/>
    <w:basedOn w:val="10"/>
    <w:next w:val="a1"/>
    <w:uiPriority w:val="39"/>
    <w:semiHidden/>
    <w:unhideWhenUsed/>
    <w:qFormat/>
    <w:rsid w:val="00F6629B"/>
    <w:pPr>
      <w:outlineLvl w:val="9"/>
    </w:pPr>
  </w:style>
  <w:style w:type="paragraph" w:styleId="31">
    <w:name w:val="toc 3"/>
    <w:basedOn w:val="a1"/>
    <w:next w:val="a1"/>
    <w:autoRedefine/>
    <w:uiPriority w:val="39"/>
    <w:unhideWhenUsed/>
    <w:rsid w:val="00F6629B"/>
    <w:pPr>
      <w:spacing w:after="100"/>
      <w:ind w:left="440"/>
    </w:pPr>
  </w:style>
  <w:style w:type="character" w:styleId="af0">
    <w:name w:val="Hyperlink"/>
    <w:basedOn w:val="a2"/>
    <w:uiPriority w:val="99"/>
    <w:unhideWhenUsed/>
    <w:rsid w:val="00F6629B"/>
    <w:rPr>
      <w:color w:val="0000FF" w:themeColor="hyperlink"/>
      <w:u w:val="single"/>
    </w:rPr>
  </w:style>
  <w:style w:type="paragraph" w:styleId="af1">
    <w:name w:val="Balloon Text"/>
    <w:basedOn w:val="a1"/>
    <w:link w:val="af2"/>
    <w:semiHidden/>
    <w:unhideWhenUsed/>
    <w:rsid w:val="00F6629B"/>
    <w:pPr>
      <w:spacing w:line="240" w:lineRule="auto"/>
    </w:pPr>
    <w:rPr>
      <w:rFonts w:ascii="Tahoma" w:hAnsi="Tahoma" w:cs="Tahoma"/>
      <w:sz w:val="16"/>
      <w:szCs w:val="16"/>
    </w:rPr>
  </w:style>
  <w:style w:type="character" w:customStyle="1" w:styleId="af2">
    <w:name w:val="Текст выноски Знак"/>
    <w:basedOn w:val="a2"/>
    <w:link w:val="af1"/>
    <w:semiHidden/>
    <w:rsid w:val="00F6629B"/>
    <w:rPr>
      <w:rFonts w:ascii="Tahoma" w:hAnsi="Tahoma" w:cs="Tahoma"/>
      <w:sz w:val="16"/>
      <w:szCs w:val="16"/>
    </w:rPr>
  </w:style>
  <w:style w:type="paragraph" w:styleId="13">
    <w:name w:val="toc 1"/>
    <w:basedOn w:val="a1"/>
    <w:next w:val="a1"/>
    <w:autoRedefine/>
    <w:uiPriority w:val="39"/>
    <w:unhideWhenUsed/>
    <w:rsid w:val="00CC2B3A"/>
    <w:pPr>
      <w:keepNext/>
      <w:tabs>
        <w:tab w:val="right" w:leader="dot" w:pos="9345"/>
      </w:tabs>
      <w:spacing w:after="100"/>
    </w:pPr>
    <w:rPr>
      <w:color w:val="244061" w:themeColor="accent1" w:themeShade="80"/>
      <w:lang w:eastAsia="zh-CN"/>
    </w:rPr>
  </w:style>
  <w:style w:type="paragraph" w:styleId="af3">
    <w:name w:val="No Spacing"/>
    <w:uiPriority w:val="1"/>
    <w:qFormat/>
    <w:rsid w:val="00DD10B7"/>
    <w:pPr>
      <w:spacing w:after="0" w:line="240" w:lineRule="auto"/>
      <w:ind w:firstLine="709"/>
      <w:jc w:val="both"/>
    </w:pPr>
    <w:rPr>
      <w:rFonts w:ascii="Times New Roman" w:hAnsi="Times New Roman"/>
      <w:sz w:val="24"/>
    </w:rPr>
  </w:style>
  <w:style w:type="paragraph" w:styleId="af4">
    <w:name w:val="caption"/>
    <w:basedOn w:val="a1"/>
    <w:next w:val="a1"/>
    <w:link w:val="af5"/>
    <w:uiPriority w:val="35"/>
    <w:unhideWhenUsed/>
    <w:qFormat/>
    <w:rsid w:val="004213C8"/>
    <w:pPr>
      <w:keepNext/>
      <w:keepLines/>
      <w:spacing w:before="0" w:after="120" w:line="240" w:lineRule="auto"/>
      <w:ind w:firstLine="0"/>
      <w:jc w:val="center"/>
    </w:pPr>
    <w:rPr>
      <w:rFonts w:asciiTheme="majorHAnsi" w:hAnsiTheme="majorHAnsi"/>
      <w:b/>
      <w:bCs/>
      <w:color w:val="17365D" w:themeColor="text2" w:themeShade="BF"/>
      <w:szCs w:val="18"/>
    </w:rPr>
  </w:style>
  <w:style w:type="character" w:customStyle="1" w:styleId="af5">
    <w:name w:val="Название объекта Знак"/>
    <w:basedOn w:val="a2"/>
    <w:link w:val="af4"/>
    <w:uiPriority w:val="35"/>
    <w:rsid w:val="004213C8"/>
    <w:rPr>
      <w:rFonts w:asciiTheme="majorHAnsi" w:hAnsiTheme="majorHAnsi"/>
      <w:b/>
      <w:bCs/>
      <w:color w:val="17365D" w:themeColor="text2" w:themeShade="BF"/>
      <w:sz w:val="24"/>
      <w:szCs w:val="18"/>
    </w:rPr>
  </w:style>
  <w:style w:type="paragraph" w:customStyle="1" w:styleId="af6">
    <w:name w:val="Заголовок таблицы"/>
    <w:basedOn w:val="af4"/>
    <w:link w:val="af7"/>
    <w:qFormat/>
    <w:rsid w:val="00C87134"/>
    <w:pPr>
      <w:spacing w:before="60" w:after="60"/>
    </w:pPr>
    <w:rPr>
      <w:rFonts w:asciiTheme="minorHAnsi" w:hAnsiTheme="minorHAnsi"/>
      <w:color w:val="FFFFFF" w:themeColor="background1"/>
      <w:sz w:val="26"/>
      <w:szCs w:val="26"/>
    </w:rPr>
  </w:style>
  <w:style w:type="character" w:customStyle="1" w:styleId="af7">
    <w:name w:val="Заголовок таблицы Знак"/>
    <w:basedOn w:val="af5"/>
    <w:link w:val="af6"/>
    <w:rsid w:val="00C87134"/>
    <w:rPr>
      <w:rFonts w:asciiTheme="majorHAnsi" w:hAnsiTheme="majorHAnsi"/>
      <w:b/>
      <w:bCs/>
      <w:color w:val="FFFFFF" w:themeColor="background1"/>
      <w:sz w:val="26"/>
      <w:szCs w:val="26"/>
    </w:rPr>
  </w:style>
  <w:style w:type="paragraph" w:customStyle="1" w:styleId="a0">
    <w:name w:val="Рекомендация"/>
    <w:basedOn w:val="a6"/>
    <w:link w:val="af8"/>
    <w:qFormat/>
    <w:rsid w:val="00426596"/>
    <w:pPr>
      <w:keepNext/>
      <w:keepLines/>
      <w:numPr>
        <w:ilvl w:val="1"/>
        <w:numId w:val="3"/>
      </w:numPr>
      <w:ind w:left="788" w:hanging="431"/>
    </w:pPr>
    <w:rPr>
      <w:rFonts w:cs="Times New Roman"/>
      <w:b/>
    </w:rPr>
  </w:style>
  <w:style w:type="character" w:customStyle="1" w:styleId="af8">
    <w:name w:val="Рекомендация Знак"/>
    <w:basedOn w:val="a7"/>
    <w:link w:val="a0"/>
    <w:rsid w:val="00426596"/>
    <w:rPr>
      <w:rFonts w:ascii="Times New Roman" w:hAnsi="Times New Roman" w:cs="Times New Roman"/>
      <w:b/>
      <w:sz w:val="24"/>
    </w:rPr>
  </w:style>
  <w:style w:type="paragraph" w:customStyle="1" w:styleId="text">
    <w:name w:val="text"/>
    <w:basedOn w:val="a1"/>
    <w:rsid w:val="00B454A2"/>
    <w:pPr>
      <w:spacing w:before="100" w:beforeAutospacing="1" w:after="100" w:afterAutospacing="1" w:line="240" w:lineRule="auto"/>
      <w:ind w:firstLine="0"/>
      <w:jc w:val="left"/>
    </w:pPr>
    <w:rPr>
      <w:rFonts w:eastAsia="Times New Roman" w:cs="Times New Roman"/>
      <w:szCs w:val="24"/>
    </w:rPr>
  </w:style>
  <w:style w:type="character" w:customStyle="1" w:styleId="apple-converted-space">
    <w:name w:val="apple-converted-space"/>
    <w:basedOn w:val="a2"/>
    <w:rsid w:val="00B454A2"/>
  </w:style>
  <w:style w:type="paragraph" w:customStyle="1" w:styleId="author">
    <w:name w:val="author"/>
    <w:basedOn w:val="a1"/>
    <w:rsid w:val="00B454A2"/>
    <w:pPr>
      <w:spacing w:before="100" w:beforeAutospacing="1" w:after="100" w:afterAutospacing="1" w:line="240" w:lineRule="auto"/>
      <w:ind w:firstLine="0"/>
      <w:jc w:val="left"/>
    </w:pPr>
    <w:rPr>
      <w:rFonts w:eastAsia="Times New Roman" w:cs="Times New Roman"/>
      <w:szCs w:val="24"/>
    </w:rPr>
  </w:style>
  <w:style w:type="paragraph" w:styleId="af9">
    <w:name w:val="Normal (Web)"/>
    <w:basedOn w:val="a1"/>
    <w:uiPriority w:val="99"/>
    <w:unhideWhenUsed/>
    <w:rsid w:val="00B454A2"/>
    <w:pPr>
      <w:spacing w:before="100" w:beforeAutospacing="1" w:after="100" w:afterAutospacing="1" w:line="240" w:lineRule="auto"/>
      <w:ind w:firstLine="0"/>
      <w:jc w:val="left"/>
    </w:pPr>
    <w:rPr>
      <w:rFonts w:eastAsia="Times New Roman" w:cs="Times New Roman"/>
      <w:szCs w:val="24"/>
    </w:rPr>
  </w:style>
  <w:style w:type="paragraph" w:customStyle="1" w:styleId="tablename">
    <w:name w:val="tablename"/>
    <w:basedOn w:val="a1"/>
    <w:rsid w:val="00B454A2"/>
    <w:pPr>
      <w:spacing w:before="100" w:beforeAutospacing="1" w:after="100" w:afterAutospacing="1" w:line="240" w:lineRule="auto"/>
      <w:ind w:firstLine="0"/>
      <w:jc w:val="left"/>
    </w:pPr>
    <w:rPr>
      <w:rFonts w:eastAsia="Times New Roman" w:cs="Times New Roman"/>
      <w:szCs w:val="24"/>
    </w:rPr>
  </w:style>
  <w:style w:type="character" w:customStyle="1" w:styleId="afa">
    <w:name w:val="Текст примечания Знак"/>
    <w:basedOn w:val="a2"/>
    <w:link w:val="afb"/>
    <w:semiHidden/>
    <w:rsid w:val="008146B7"/>
    <w:rPr>
      <w:rFonts w:ascii="Times New Roman" w:eastAsia="Times New Roman" w:hAnsi="Times New Roman" w:cs="Times New Roman"/>
      <w:sz w:val="20"/>
      <w:szCs w:val="20"/>
    </w:rPr>
  </w:style>
  <w:style w:type="paragraph" w:styleId="afb">
    <w:name w:val="annotation text"/>
    <w:basedOn w:val="a1"/>
    <w:link w:val="afa"/>
    <w:semiHidden/>
    <w:unhideWhenUsed/>
    <w:rsid w:val="008146B7"/>
    <w:pPr>
      <w:spacing w:before="0" w:line="240" w:lineRule="auto"/>
      <w:ind w:firstLine="0"/>
      <w:jc w:val="left"/>
    </w:pPr>
    <w:rPr>
      <w:rFonts w:eastAsia="Times New Roman" w:cs="Times New Roman"/>
      <w:sz w:val="20"/>
      <w:szCs w:val="20"/>
    </w:rPr>
  </w:style>
  <w:style w:type="paragraph" w:styleId="a">
    <w:name w:val="List Bullet"/>
    <w:basedOn w:val="a1"/>
    <w:autoRedefine/>
    <w:semiHidden/>
    <w:unhideWhenUsed/>
    <w:rsid w:val="008146B7"/>
    <w:pPr>
      <w:numPr>
        <w:numId w:val="4"/>
      </w:numPr>
      <w:tabs>
        <w:tab w:val="clear" w:pos="360"/>
      </w:tabs>
      <w:spacing w:before="0" w:line="240" w:lineRule="auto"/>
      <w:ind w:left="0" w:firstLine="706"/>
      <w:jc w:val="left"/>
    </w:pPr>
    <w:rPr>
      <w:rFonts w:eastAsia="Times New Roman" w:cs="Times New Roman"/>
      <w:szCs w:val="24"/>
    </w:rPr>
  </w:style>
  <w:style w:type="character" w:customStyle="1" w:styleId="afc">
    <w:name w:val="Основной текст Знак"/>
    <w:basedOn w:val="a2"/>
    <w:link w:val="afd"/>
    <w:semiHidden/>
    <w:rsid w:val="008146B7"/>
    <w:rPr>
      <w:rFonts w:ascii="Times New Roman" w:eastAsia="Times New Roman" w:hAnsi="Times New Roman" w:cs="Times New Roman"/>
      <w:sz w:val="20"/>
      <w:szCs w:val="20"/>
    </w:rPr>
  </w:style>
  <w:style w:type="paragraph" w:styleId="afd">
    <w:name w:val="Body Text"/>
    <w:basedOn w:val="a1"/>
    <w:link w:val="afc"/>
    <w:semiHidden/>
    <w:unhideWhenUsed/>
    <w:rsid w:val="008146B7"/>
    <w:pPr>
      <w:spacing w:before="0" w:after="120" w:line="240" w:lineRule="auto"/>
      <w:ind w:firstLine="0"/>
      <w:jc w:val="left"/>
    </w:pPr>
    <w:rPr>
      <w:rFonts w:eastAsia="Times New Roman" w:cs="Times New Roman"/>
      <w:sz w:val="20"/>
      <w:szCs w:val="20"/>
    </w:rPr>
  </w:style>
  <w:style w:type="character" w:customStyle="1" w:styleId="21">
    <w:name w:val="Основной текст 2 Знак"/>
    <w:basedOn w:val="a2"/>
    <w:link w:val="22"/>
    <w:semiHidden/>
    <w:rsid w:val="008146B7"/>
    <w:rPr>
      <w:rFonts w:ascii="Times New Roman" w:eastAsia="Times New Roman" w:hAnsi="Times New Roman" w:cs="Times New Roman"/>
      <w:sz w:val="20"/>
      <w:szCs w:val="20"/>
    </w:rPr>
  </w:style>
  <w:style w:type="paragraph" w:styleId="22">
    <w:name w:val="Body Text 2"/>
    <w:basedOn w:val="a1"/>
    <w:link w:val="21"/>
    <w:semiHidden/>
    <w:unhideWhenUsed/>
    <w:rsid w:val="008146B7"/>
    <w:pPr>
      <w:spacing w:before="0" w:after="120" w:line="480" w:lineRule="auto"/>
      <w:ind w:firstLine="0"/>
      <w:jc w:val="left"/>
    </w:pPr>
    <w:rPr>
      <w:rFonts w:eastAsia="Times New Roman" w:cs="Times New Roman"/>
      <w:sz w:val="20"/>
      <w:szCs w:val="20"/>
    </w:rPr>
  </w:style>
  <w:style w:type="character" w:customStyle="1" w:styleId="23">
    <w:name w:val="Основной текст с отступом 2 Знак"/>
    <w:basedOn w:val="a2"/>
    <w:link w:val="24"/>
    <w:semiHidden/>
    <w:rsid w:val="008146B7"/>
    <w:rPr>
      <w:rFonts w:ascii="Times New Roman" w:eastAsia="Times New Roman" w:hAnsi="Times New Roman" w:cs="Times New Roman"/>
      <w:sz w:val="20"/>
      <w:szCs w:val="20"/>
    </w:rPr>
  </w:style>
  <w:style w:type="paragraph" w:styleId="24">
    <w:name w:val="Body Text Indent 2"/>
    <w:basedOn w:val="a1"/>
    <w:link w:val="23"/>
    <w:semiHidden/>
    <w:unhideWhenUsed/>
    <w:rsid w:val="008146B7"/>
    <w:pPr>
      <w:spacing w:before="0" w:after="120" w:line="480" w:lineRule="auto"/>
      <w:ind w:left="283" w:firstLine="0"/>
      <w:jc w:val="left"/>
    </w:pPr>
    <w:rPr>
      <w:rFonts w:eastAsia="Times New Roman" w:cs="Times New Roman"/>
      <w:sz w:val="20"/>
      <w:szCs w:val="20"/>
    </w:rPr>
  </w:style>
  <w:style w:type="character" w:customStyle="1" w:styleId="afe">
    <w:name w:val="Схема документа Знак"/>
    <w:basedOn w:val="a2"/>
    <w:link w:val="aff"/>
    <w:semiHidden/>
    <w:rsid w:val="008146B7"/>
    <w:rPr>
      <w:rFonts w:ascii="Tahoma" w:eastAsia="Times New Roman" w:hAnsi="Tahoma" w:cs="Tahoma"/>
      <w:sz w:val="20"/>
      <w:szCs w:val="20"/>
      <w:shd w:val="clear" w:color="auto" w:fill="000080"/>
    </w:rPr>
  </w:style>
  <w:style w:type="paragraph" w:styleId="aff">
    <w:name w:val="Document Map"/>
    <w:basedOn w:val="a1"/>
    <w:link w:val="afe"/>
    <w:semiHidden/>
    <w:unhideWhenUsed/>
    <w:rsid w:val="008146B7"/>
    <w:pPr>
      <w:shd w:val="clear" w:color="auto" w:fill="000080"/>
      <w:spacing w:before="0" w:line="240" w:lineRule="auto"/>
      <w:ind w:firstLine="0"/>
      <w:jc w:val="left"/>
    </w:pPr>
    <w:rPr>
      <w:rFonts w:ascii="Tahoma" w:eastAsia="Times New Roman" w:hAnsi="Tahoma" w:cs="Tahoma"/>
      <w:sz w:val="20"/>
      <w:szCs w:val="20"/>
    </w:rPr>
  </w:style>
  <w:style w:type="character" w:customStyle="1" w:styleId="aff0">
    <w:name w:val="Тема примечания Знак"/>
    <w:basedOn w:val="afa"/>
    <w:link w:val="aff1"/>
    <w:semiHidden/>
    <w:rsid w:val="008146B7"/>
    <w:rPr>
      <w:rFonts w:ascii="Times New Roman" w:eastAsia="Times New Roman" w:hAnsi="Times New Roman" w:cs="Times New Roman"/>
      <w:b/>
      <w:bCs/>
      <w:sz w:val="20"/>
      <w:szCs w:val="20"/>
    </w:rPr>
  </w:style>
  <w:style w:type="paragraph" w:styleId="aff1">
    <w:name w:val="annotation subject"/>
    <w:basedOn w:val="afb"/>
    <w:next w:val="afb"/>
    <w:link w:val="aff0"/>
    <w:semiHidden/>
    <w:unhideWhenUsed/>
    <w:rsid w:val="008146B7"/>
    <w:rPr>
      <w:b/>
      <w:bCs/>
    </w:rPr>
  </w:style>
  <w:style w:type="paragraph" w:customStyle="1" w:styleId="14">
    <w:name w:val="Обычный1"/>
    <w:rsid w:val="008146B7"/>
    <w:pPr>
      <w:snapToGrid w:val="0"/>
      <w:spacing w:before="100" w:after="100" w:line="240" w:lineRule="auto"/>
    </w:pPr>
    <w:rPr>
      <w:rFonts w:ascii="Times New Roman" w:eastAsia="Times New Roman" w:hAnsi="Times New Roman" w:cs="Times New Roman"/>
      <w:sz w:val="24"/>
      <w:szCs w:val="20"/>
    </w:rPr>
  </w:style>
  <w:style w:type="paragraph" w:customStyle="1" w:styleId="H3">
    <w:name w:val="H3"/>
    <w:basedOn w:val="a1"/>
    <w:next w:val="a1"/>
    <w:rsid w:val="008146B7"/>
    <w:pPr>
      <w:keepNext/>
      <w:snapToGrid w:val="0"/>
      <w:spacing w:before="100" w:after="100" w:line="240" w:lineRule="auto"/>
      <w:ind w:firstLine="0"/>
      <w:jc w:val="left"/>
      <w:outlineLvl w:val="3"/>
    </w:pPr>
    <w:rPr>
      <w:rFonts w:eastAsia="Times New Roman" w:cs="Times New Roman"/>
      <w:b/>
      <w:sz w:val="28"/>
      <w:szCs w:val="20"/>
    </w:rPr>
  </w:style>
  <w:style w:type="paragraph" w:customStyle="1" w:styleId="aff2">
    <w:name w:val="Официальный"/>
    <w:basedOn w:val="a1"/>
    <w:rsid w:val="008146B7"/>
    <w:pPr>
      <w:spacing w:after="120" w:line="288" w:lineRule="auto"/>
    </w:pPr>
    <w:rPr>
      <w:rFonts w:eastAsia="Times New Roman" w:cs="Times New Roman"/>
      <w:szCs w:val="24"/>
      <w:lang w:eastAsia="sr-Cyrl-CS"/>
    </w:rPr>
  </w:style>
  <w:style w:type="paragraph" w:customStyle="1" w:styleId="15">
    <w:name w:val="Название1"/>
    <w:basedOn w:val="a1"/>
    <w:rsid w:val="008146B7"/>
    <w:pPr>
      <w:spacing w:before="100" w:beforeAutospacing="1" w:after="100" w:afterAutospacing="1" w:line="240" w:lineRule="auto"/>
      <w:ind w:firstLine="0"/>
      <w:jc w:val="left"/>
    </w:pPr>
    <w:rPr>
      <w:rFonts w:eastAsia="Times New Roman" w:cs="Times New Roman"/>
      <w:szCs w:val="24"/>
    </w:rPr>
  </w:style>
  <w:style w:type="paragraph" w:customStyle="1" w:styleId="desc">
    <w:name w:val="desc"/>
    <w:basedOn w:val="a1"/>
    <w:rsid w:val="008146B7"/>
    <w:pPr>
      <w:spacing w:before="100" w:beforeAutospacing="1" w:after="100" w:afterAutospacing="1" w:line="240" w:lineRule="auto"/>
      <w:ind w:firstLine="0"/>
      <w:jc w:val="left"/>
    </w:pPr>
    <w:rPr>
      <w:rFonts w:eastAsia="Times New Roman" w:cs="Times New Roman"/>
      <w:szCs w:val="24"/>
    </w:rPr>
  </w:style>
  <w:style w:type="paragraph" w:customStyle="1" w:styleId="details">
    <w:name w:val="details"/>
    <w:basedOn w:val="a1"/>
    <w:rsid w:val="008146B7"/>
    <w:pPr>
      <w:spacing w:before="100" w:beforeAutospacing="1" w:after="100" w:afterAutospacing="1" w:line="240" w:lineRule="auto"/>
      <w:ind w:firstLine="0"/>
      <w:jc w:val="left"/>
    </w:pPr>
    <w:rPr>
      <w:rFonts w:eastAsia="Times New Roman" w:cs="Times New Roman"/>
      <w:szCs w:val="24"/>
    </w:rPr>
  </w:style>
  <w:style w:type="paragraph" w:customStyle="1" w:styleId="6">
    <w:name w:val="Обычный (веб)6"/>
    <w:basedOn w:val="a1"/>
    <w:rsid w:val="008146B7"/>
    <w:pPr>
      <w:spacing w:before="27" w:after="136" w:line="336" w:lineRule="atLeast"/>
      <w:ind w:firstLine="0"/>
      <w:jc w:val="left"/>
    </w:pPr>
    <w:rPr>
      <w:rFonts w:ascii="Arial" w:eastAsia="Times New Roman" w:hAnsi="Arial" w:cs="Arial"/>
      <w:sz w:val="16"/>
      <w:szCs w:val="16"/>
    </w:rPr>
  </w:style>
  <w:style w:type="character" w:customStyle="1" w:styleId="volume">
    <w:name w:val="volume"/>
    <w:basedOn w:val="a2"/>
    <w:rsid w:val="008146B7"/>
  </w:style>
  <w:style w:type="character" w:customStyle="1" w:styleId="issue">
    <w:name w:val="issue"/>
    <w:basedOn w:val="a2"/>
    <w:rsid w:val="008146B7"/>
  </w:style>
  <w:style w:type="character" w:customStyle="1" w:styleId="pages">
    <w:name w:val="pages"/>
    <w:basedOn w:val="a2"/>
    <w:rsid w:val="008146B7"/>
  </w:style>
  <w:style w:type="character" w:customStyle="1" w:styleId="ti">
    <w:name w:val="ti"/>
    <w:basedOn w:val="a2"/>
    <w:rsid w:val="008146B7"/>
  </w:style>
  <w:style w:type="character" w:customStyle="1" w:styleId="featuredlinkouts">
    <w:name w:val="featured_linkouts"/>
    <w:basedOn w:val="a2"/>
    <w:rsid w:val="008146B7"/>
  </w:style>
  <w:style w:type="character" w:customStyle="1" w:styleId="linkbar">
    <w:name w:val="linkbar"/>
    <w:basedOn w:val="a2"/>
    <w:rsid w:val="008146B7"/>
  </w:style>
  <w:style w:type="character" w:customStyle="1" w:styleId="ext-reflink">
    <w:name w:val="ext-reflink"/>
    <w:basedOn w:val="a2"/>
    <w:rsid w:val="008146B7"/>
  </w:style>
  <w:style w:type="character" w:customStyle="1" w:styleId="fm-vol-iss-date2">
    <w:name w:val="fm-vol-iss-date2"/>
    <w:basedOn w:val="a2"/>
    <w:rsid w:val="008146B7"/>
    <w:rPr>
      <w:rFonts w:ascii="Arial" w:hAnsi="Arial" w:cs="Arial" w:hint="default"/>
      <w:sz w:val="24"/>
      <w:szCs w:val="24"/>
    </w:rPr>
  </w:style>
  <w:style w:type="character" w:customStyle="1" w:styleId="src2">
    <w:name w:val="src2"/>
    <w:basedOn w:val="a2"/>
    <w:rsid w:val="008146B7"/>
    <w:rPr>
      <w:vanish w:val="0"/>
      <w:webHidden w:val="0"/>
      <w:sz w:val="29"/>
      <w:szCs w:val="29"/>
      <w:shd w:val="clear" w:color="auto" w:fill="FFFFFF"/>
      <w:specVanish w:val="0"/>
    </w:rPr>
  </w:style>
  <w:style w:type="character" w:customStyle="1" w:styleId="src">
    <w:name w:val="src"/>
    <w:basedOn w:val="a2"/>
    <w:rsid w:val="008146B7"/>
  </w:style>
  <w:style w:type="character" w:customStyle="1" w:styleId="jrnl">
    <w:name w:val="jrnl"/>
    <w:basedOn w:val="a2"/>
    <w:rsid w:val="008146B7"/>
  </w:style>
  <w:style w:type="character" w:customStyle="1" w:styleId="mixed-citation">
    <w:name w:val="mixed-citation"/>
    <w:basedOn w:val="a2"/>
    <w:rsid w:val="008146B7"/>
  </w:style>
  <w:style w:type="character" w:customStyle="1" w:styleId="ref-journal">
    <w:name w:val="ref-journal"/>
    <w:basedOn w:val="a2"/>
    <w:rsid w:val="008146B7"/>
  </w:style>
  <w:style w:type="character" w:customStyle="1" w:styleId="ref-vol">
    <w:name w:val="ref-vol"/>
    <w:basedOn w:val="a2"/>
    <w:rsid w:val="008146B7"/>
  </w:style>
  <w:style w:type="character" w:customStyle="1" w:styleId="cit-source">
    <w:name w:val="cit-source"/>
    <w:basedOn w:val="a2"/>
    <w:rsid w:val="008146B7"/>
  </w:style>
  <w:style w:type="character" w:customStyle="1" w:styleId="cit-vol3">
    <w:name w:val="cit-vol3"/>
    <w:basedOn w:val="a2"/>
    <w:rsid w:val="008146B7"/>
  </w:style>
  <w:style w:type="character" w:customStyle="1" w:styleId="cit-fpage">
    <w:name w:val="cit-fpage"/>
    <w:basedOn w:val="a2"/>
    <w:rsid w:val="008146B7"/>
  </w:style>
  <w:style w:type="character" w:customStyle="1" w:styleId="cit-pub-date">
    <w:name w:val="cit-pub-date"/>
    <w:basedOn w:val="a2"/>
    <w:rsid w:val="008146B7"/>
  </w:style>
  <w:style w:type="character" w:customStyle="1" w:styleId="ref-journal1">
    <w:name w:val="ref-journal1"/>
    <w:basedOn w:val="a2"/>
    <w:rsid w:val="008146B7"/>
    <w:rPr>
      <w:i/>
      <w:iCs/>
      <w:sz w:val="19"/>
      <w:szCs w:val="19"/>
    </w:rPr>
  </w:style>
  <w:style w:type="character" w:customStyle="1" w:styleId="ref-vol1">
    <w:name w:val="ref-vol1"/>
    <w:basedOn w:val="a2"/>
    <w:rsid w:val="008146B7"/>
    <w:rPr>
      <w:b/>
      <w:bCs/>
      <w:sz w:val="19"/>
      <w:szCs w:val="19"/>
    </w:rPr>
  </w:style>
  <w:style w:type="character" w:customStyle="1" w:styleId="head2">
    <w:name w:val="head2"/>
    <w:basedOn w:val="a2"/>
    <w:rsid w:val="008146B7"/>
  </w:style>
  <w:style w:type="character" w:customStyle="1" w:styleId="cit-auth">
    <w:name w:val="cit-auth"/>
    <w:basedOn w:val="a2"/>
    <w:rsid w:val="008146B7"/>
  </w:style>
  <w:style w:type="character" w:customStyle="1" w:styleId="cit-name-surname">
    <w:name w:val="cit-name-surname"/>
    <w:basedOn w:val="a2"/>
    <w:rsid w:val="008146B7"/>
  </w:style>
  <w:style w:type="character" w:customStyle="1" w:styleId="cit-name-given-names">
    <w:name w:val="cit-name-given-names"/>
    <w:basedOn w:val="a2"/>
    <w:rsid w:val="008146B7"/>
  </w:style>
  <w:style w:type="character" w:customStyle="1" w:styleId="cit-etal">
    <w:name w:val="cit-etal"/>
    <w:basedOn w:val="a2"/>
    <w:rsid w:val="008146B7"/>
  </w:style>
  <w:style w:type="character" w:customStyle="1" w:styleId="cit-authcit-collab">
    <w:name w:val="cit-auth cit-collab"/>
    <w:basedOn w:val="a2"/>
    <w:rsid w:val="008146B7"/>
  </w:style>
  <w:style w:type="character" w:customStyle="1" w:styleId="cit-article-title">
    <w:name w:val="cit-article-title"/>
    <w:basedOn w:val="a2"/>
    <w:rsid w:val="008146B7"/>
  </w:style>
  <w:style w:type="character" w:customStyle="1" w:styleId="cit-vol">
    <w:name w:val="cit-vol"/>
    <w:basedOn w:val="a2"/>
    <w:rsid w:val="008146B7"/>
  </w:style>
  <w:style w:type="character" w:customStyle="1" w:styleId="cit-lpage">
    <w:name w:val="cit-lpage"/>
    <w:basedOn w:val="a2"/>
    <w:rsid w:val="008146B7"/>
  </w:style>
  <w:style w:type="character" w:customStyle="1" w:styleId="fm-vol-iss-date">
    <w:name w:val="fm-vol-iss-date"/>
    <w:basedOn w:val="a2"/>
    <w:rsid w:val="008146B7"/>
  </w:style>
  <w:style w:type="character" w:customStyle="1" w:styleId="apple-style-span">
    <w:name w:val="apple-style-span"/>
    <w:basedOn w:val="a2"/>
    <w:rsid w:val="008146B7"/>
  </w:style>
  <w:style w:type="table" w:customStyle="1" w:styleId="16">
    <w:name w:val="Сетка таблицы1"/>
    <w:basedOn w:val="a3"/>
    <w:next w:val="a5"/>
    <w:rsid w:val="004F5B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B834B6"/>
    <w:pPr>
      <w:numPr>
        <w:numId w:val="6"/>
      </w:numPr>
    </w:pPr>
  </w:style>
  <w:style w:type="paragraph" w:styleId="25">
    <w:name w:val="toc 2"/>
    <w:basedOn w:val="a1"/>
    <w:next w:val="a1"/>
    <w:autoRedefine/>
    <w:uiPriority w:val="39"/>
    <w:unhideWhenUsed/>
    <w:rsid w:val="004A5A2B"/>
    <w:pPr>
      <w:ind w:left="240"/>
    </w:pPr>
  </w:style>
  <w:style w:type="paragraph" w:styleId="41">
    <w:name w:val="toc 4"/>
    <w:basedOn w:val="a1"/>
    <w:next w:val="a1"/>
    <w:autoRedefine/>
    <w:uiPriority w:val="39"/>
    <w:unhideWhenUsed/>
    <w:rsid w:val="004A5A2B"/>
    <w:pPr>
      <w:ind w:left="720"/>
    </w:pPr>
  </w:style>
  <w:style w:type="paragraph" w:styleId="51">
    <w:name w:val="toc 5"/>
    <w:basedOn w:val="a1"/>
    <w:next w:val="a1"/>
    <w:autoRedefine/>
    <w:uiPriority w:val="39"/>
    <w:unhideWhenUsed/>
    <w:rsid w:val="004A5A2B"/>
    <w:pPr>
      <w:ind w:left="960"/>
    </w:pPr>
  </w:style>
  <w:style w:type="paragraph" w:styleId="60">
    <w:name w:val="toc 6"/>
    <w:basedOn w:val="a1"/>
    <w:next w:val="a1"/>
    <w:autoRedefine/>
    <w:uiPriority w:val="39"/>
    <w:unhideWhenUsed/>
    <w:rsid w:val="004A5A2B"/>
    <w:pPr>
      <w:ind w:left="1200"/>
    </w:pPr>
  </w:style>
  <w:style w:type="paragraph" w:styleId="7">
    <w:name w:val="toc 7"/>
    <w:basedOn w:val="a1"/>
    <w:next w:val="a1"/>
    <w:autoRedefine/>
    <w:uiPriority w:val="39"/>
    <w:unhideWhenUsed/>
    <w:rsid w:val="004A5A2B"/>
    <w:pPr>
      <w:ind w:left="1440"/>
    </w:pPr>
  </w:style>
  <w:style w:type="paragraph" w:styleId="8">
    <w:name w:val="toc 8"/>
    <w:basedOn w:val="a1"/>
    <w:next w:val="a1"/>
    <w:autoRedefine/>
    <w:uiPriority w:val="39"/>
    <w:unhideWhenUsed/>
    <w:rsid w:val="004A5A2B"/>
    <w:pPr>
      <w:ind w:left="1680"/>
    </w:pPr>
  </w:style>
  <w:style w:type="paragraph" w:styleId="9">
    <w:name w:val="toc 9"/>
    <w:basedOn w:val="a1"/>
    <w:next w:val="a1"/>
    <w:autoRedefine/>
    <w:uiPriority w:val="39"/>
    <w:unhideWhenUsed/>
    <w:rsid w:val="004A5A2B"/>
    <w:pPr>
      <w:ind w:left="1920"/>
    </w:pPr>
  </w:style>
  <w:style w:type="character" w:customStyle="1" w:styleId="32">
    <w:name w:val="Основной текст3"/>
    <w:uiPriority w:val="99"/>
    <w:rsid w:val="00AE0F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MSH"/>
    <w:qFormat/>
    <w:rsid w:val="00B1732A"/>
    <w:pPr>
      <w:spacing w:before="120" w:after="0"/>
      <w:ind w:firstLine="709"/>
      <w:jc w:val="both"/>
    </w:pPr>
    <w:rPr>
      <w:rFonts w:ascii="Times New Roman" w:hAnsi="Times New Roman"/>
      <w:sz w:val="24"/>
    </w:rPr>
  </w:style>
  <w:style w:type="paragraph" w:styleId="10">
    <w:name w:val="heading 1"/>
    <w:basedOn w:val="a1"/>
    <w:next w:val="a1"/>
    <w:link w:val="11"/>
    <w:qFormat/>
    <w:rsid w:val="00C967DD"/>
    <w:pPr>
      <w:keepNext/>
      <w:keepLines/>
      <w:pBdr>
        <w:bottom w:val="single" w:sz="8" w:space="1" w:color="365F91" w:themeColor="accent1" w:themeShade="BF"/>
      </w:pBdr>
      <w:spacing w:before="480"/>
      <w:ind w:firstLine="0"/>
      <w:jc w:val="center"/>
      <w:outlineLvl w:val="0"/>
    </w:pPr>
    <w:rPr>
      <w:rFonts w:asciiTheme="majorHAnsi" w:eastAsiaTheme="majorEastAsia" w:hAnsiTheme="majorHAnsi" w:cstheme="majorBidi"/>
      <w:b/>
      <w:bCs/>
      <w:color w:val="17365D" w:themeColor="text2" w:themeShade="BF"/>
      <w:sz w:val="28"/>
      <w:szCs w:val="28"/>
    </w:rPr>
  </w:style>
  <w:style w:type="paragraph" w:styleId="2">
    <w:name w:val="heading 2"/>
    <w:basedOn w:val="a1"/>
    <w:next w:val="a1"/>
    <w:link w:val="20"/>
    <w:unhideWhenUsed/>
    <w:qFormat/>
    <w:rsid w:val="00DD10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865E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865E9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865E92"/>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C967DD"/>
    <w:rPr>
      <w:rFonts w:asciiTheme="majorHAnsi" w:eastAsiaTheme="majorEastAsia" w:hAnsiTheme="majorHAnsi" w:cstheme="majorBidi"/>
      <w:b/>
      <w:bCs/>
      <w:color w:val="17365D" w:themeColor="text2" w:themeShade="BF"/>
      <w:sz w:val="28"/>
      <w:szCs w:val="28"/>
    </w:rPr>
  </w:style>
  <w:style w:type="character" w:customStyle="1" w:styleId="20">
    <w:name w:val="Заголовок 2 Знак"/>
    <w:basedOn w:val="a2"/>
    <w:link w:val="2"/>
    <w:rsid w:val="00DD10B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865E9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865E92"/>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rsid w:val="00865E92"/>
    <w:rPr>
      <w:rFonts w:asciiTheme="majorHAnsi" w:eastAsiaTheme="majorEastAsia" w:hAnsiTheme="majorHAnsi" w:cstheme="majorBidi"/>
      <w:color w:val="243F60" w:themeColor="accent1" w:themeShade="7F"/>
    </w:rPr>
  </w:style>
  <w:style w:type="paragraph" w:customStyle="1" w:styleId="Chap-Name">
    <w:name w:val="Chap-Name"/>
    <w:basedOn w:val="a1"/>
    <w:next w:val="5"/>
    <w:link w:val="Chap-Name0"/>
    <w:rsid w:val="00865E92"/>
    <w:pPr>
      <w:suppressAutoHyphens/>
      <w:spacing w:before="240" w:after="360" w:line="360" w:lineRule="auto"/>
      <w:ind w:left="737" w:right="113" w:hanging="170"/>
      <w:jc w:val="right"/>
    </w:pPr>
    <w:rPr>
      <w:rFonts w:ascii="Arial" w:eastAsia="SimSun" w:hAnsi="Arial" w:cs="Times New Roman"/>
      <w:b/>
      <w:color w:val="800080"/>
      <w:sz w:val="36"/>
      <w:szCs w:val="24"/>
      <w:lang w:eastAsia="zh-CN"/>
    </w:rPr>
  </w:style>
  <w:style w:type="character" w:customStyle="1" w:styleId="Chap-Name0">
    <w:name w:val="Chap-Name Знак"/>
    <w:basedOn w:val="a2"/>
    <w:link w:val="Chap-Name"/>
    <w:rsid w:val="00865E92"/>
    <w:rPr>
      <w:rFonts w:ascii="Arial" w:eastAsia="SimSun" w:hAnsi="Arial" w:cs="Times New Roman"/>
      <w:b/>
      <w:color w:val="800080"/>
      <w:sz w:val="36"/>
      <w:szCs w:val="24"/>
      <w:lang w:eastAsia="zh-CN"/>
    </w:rPr>
  </w:style>
  <w:style w:type="paragraph" w:customStyle="1" w:styleId="Text05">
    <w:name w:val="Text_05 Знак"/>
    <w:basedOn w:val="5"/>
    <w:link w:val="Text050"/>
    <w:rsid w:val="00865E92"/>
    <w:pPr>
      <w:keepNext w:val="0"/>
      <w:keepLines w:val="0"/>
      <w:widowControl w:val="0"/>
      <w:numPr>
        <w:ilvl w:val="12"/>
      </w:numPr>
      <w:overflowPunct w:val="0"/>
      <w:autoSpaceDE w:val="0"/>
      <w:autoSpaceDN w:val="0"/>
      <w:adjustRightInd w:val="0"/>
      <w:spacing w:before="80" w:after="40" w:line="240" w:lineRule="exact"/>
      <w:ind w:firstLine="709"/>
      <w:textAlignment w:val="baseline"/>
    </w:pPr>
    <w:rPr>
      <w:rFonts w:ascii="Times New Roman" w:eastAsia="SimSun" w:hAnsi="Times New Roman" w:cs="Times New Roman"/>
      <w:color w:val="000000"/>
      <w:lang w:eastAsia="zh-CN"/>
    </w:rPr>
  </w:style>
  <w:style w:type="character" w:customStyle="1" w:styleId="Text050">
    <w:name w:val="Text_05 Знак Знак"/>
    <w:basedOn w:val="a2"/>
    <w:link w:val="Text05"/>
    <w:rsid w:val="00865E92"/>
    <w:rPr>
      <w:rFonts w:ascii="Times New Roman" w:eastAsia="SimSun" w:hAnsi="Times New Roman" w:cs="Times New Roman"/>
      <w:color w:val="000000"/>
      <w:lang w:eastAsia="zh-CN"/>
    </w:rPr>
  </w:style>
  <w:style w:type="paragraph" w:customStyle="1" w:styleId="TextDrugs">
    <w:name w:val="Text_Drugs"/>
    <w:basedOn w:val="a1"/>
    <w:link w:val="TextDrugs0"/>
    <w:rsid w:val="00865E92"/>
    <w:pPr>
      <w:widowControl w:val="0"/>
      <w:overflowPunct w:val="0"/>
      <w:autoSpaceDE w:val="0"/>
      <w:autoSpaceDN w:val="0"/>
      <w:adjustRightInd w:val="0"/>
      <w:spacing w:before="40" w:after="40" w:line="220" w:lineRule="exact"/>
      <w:ind w:left="454" w:hanging="454"/>
      <w:textAlignment w:val="baseline"/>
    </w:pPr>
    <w:rPr>
      <w:rFonts w:eastAsia="SimSun" w:cs="Times New Roman"/>
      <w:color w:val="000000"/>
      <w:sz w:val="18"/>
      <w:szCs w:val="18"/>
      <w:lang w:eastAsia="zh-CN"/>
    </w:rPr>
  </w:style>
  <w:style w:type="character" w:customStyle="1" w:styleId="TextDrugs0">
    <w:name w:val="Text_Drugs Знак"/>
    <w:basedOn w:val="a2"/>
    <w:link w:val="TextDrugs"/>
    <w:rsid w:val="00865E92"/>
    <w:rPr>
      <w:rFonts w:ascii="Times New Roman" w:eastAsia="SimSun" w:hAnsi="Times New Roman" w:cs="Times New Roman"/>
      <w:color w:val="000000"/>
      <w:sz w:val="18"/>
      <w:szCs w:val="18"/>
      <w:lang w:eastAsia="zh-CN"/>
    </w:rPr>
  </w:style>
  <w:style w:type="paragraph" w:customStyle="1" w:styleId="Title03">
    <w:name w:val="Title_03"/>
    <w:basedOn w:val="3"/>
    <w:link w:val="Title030"/>
    <w:rsid w:val="00865E92"/>
    <w:pPr>
      <w:keepNext w:val="0"/>
      <w:keepLines w:val="0"/>
      <w:widowControl w:val="0"/>
      <w:overflowPunct w:val="0"/>
      <w:autoSpaceDE w:val="0"/>
      <w:autoSpaceDN w:val="0"/>
      <w:adjustRightInd w:val="0"/>
      <w:spacing w:before="240" w:after="120" w:line="280" w:lineRule="exact"/>
      <w:textAlignment w:val="baseline"/>
    </w:pPr>
    <w:rPr>
      <w:rFonts w:ascii="Arial" w:eastAsia="SimSun" w:hAnsi="Arial" w:cs="Times New Roman"/>
      <w:bCs w:val="0"/>
      <w:caps/>
      <w:color w:val="000080"/>
      <w:lang w:eastAsia="zh-CN"/>
    </w:rPr>
  </w:style>
  <w:style w:type="character" w:customStyle="1" w:styleId="Title030">
    <w:name w:val="Title_03 Знак"/>
    <w:basedOn w:val="a2"/>
    <w:link w:val="Title03"/>
    <w:rsid w:val="00865E92"/>
    <w:rPr>
      <w:rFonts w:ascii="Arial" w:eastAsia="SimSun" w:hAnsi="Arial" w:cs="Times New Roman"/>
      <w:b/>
      <w:caps/>
      <w:color w:val="000080"/>
      <w:lang w:eastAsia="zh-CN"/>
    </w:rPr>
  </w:style>
  <w:style w:type="paragraph" w:customStyle="1" w:styleId="Title04">
    <w:name w:val="Title_04"/>
    <w:basedOn w:val="4"/>
    <w:link w:val="Title040"/>
    <w:rsid w:val="00865E92"/>
    <w:pPr>
      <w:keepNext w:val="0"/>
      <w:keepLines w:val="0"/>
      <w:widowControl w:val="0"/>
      <w:overflowPunct w:val="0"/>
      <w:autoSpaceDE w:val="0"/>
      <w:autoSpaceDN w:val="0"/>
      <w:adjustRightInd w:val="0"/>
      <w:spacing w:before="120" w:after="40" w:line="240" w:lineRule="exact"/>
      <w:textAlignment w:val="baseline"/>
    </w:pPr>
    <w:rPr>
      <w:rFonts w:ascii="Times New Roman" w:eastAsia="SimSun" w:hAnsi="Times New Roman" w:cs="Times New Roman"/>
      <w:bCs w:val="0"/>
      <w:i w:val="0"/>
      <w:iCs w:val="0"/>
      <w:smallCaps/>
      <w:color w:val="800000"/>
      <w:szCs w:val="20"/>
      <w:lang w:eastAsia="zh-CN"/>
    </w:rPr>
  </w:style>
  <w:style w:type="character" w:customStyle="1" w:styleId="Title040">
    <w:name w:val="Title_04 Знак"/>
    <w:basedOn w:val="a2"/>
    <w:link w:val="Title04"/>
    <w:rsid w:val="00865E92"/>
    <w:rPr>
      <w:rFonts w:ascii="Times New Roman" w:eastAsia="SimSun" w:hAnsi="Times New Roman" w:cs="Times New Roman"/>
      <w:b/>
      <w:smallCaps/>
      <w:color w:val="800000"/>
      <w:sz w:val="24"/>
      <w:szCs w:val="20"/>
      <w:lang w:eastAsia="zh-CN"/>
    </w:rPr>
  </w:style>
  <w:style w:type="table" w:styleId="a5">
    <w:name w:val="Table Grid"/>
    <w:basedOn w:val="a3"/>
    <w:rsid w:val="00C45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ветлая заливка1"/>
    <w:basedOn w:val="a3"/>
    <w:uiPriority w:val="60"/>
    <w:rsid w:val="00C452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1">
    <w:name w:val="Light Shading Accent 3"/>
    <w:basedOn w:val="a3"/>
    <w:uiPriority w:val="60"/>
    <w:rsid w:val="00D44A2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a3"/>
    <w:uiPriority w:val="60"/>
    <w:rsid w:val="00D44A2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6">
    <w:name w:val="List Paragraph"/>
    <w:basedOn w:val="a1"/>
    <w:link w:val="a7"/>
    <w:uiPriority w:val="34"/>
    <w:qFormat/>
    <w:rsid w:val="00DB3959"/>
    <w:pPr>
      <w:ind w:left="720"/>
      <w:contextualSpacing/>
    </w:pPr>
  </w:style>
  <w:style w:type="character" w:customStyle="1" w:styleId="a7">
    <w:name w:val="Абзац списка Знак"/>
    <w:basedOn w:val="a2"/>
    <w:link w:val="a6"/>
    <w:uiPriority w:val="34"/>
    <w:rsid w:val="00F928A6"/>
    <w:rPr>
      <w:rFonts w:ascii="Times New Roman" w:hAnsi="Times New Roman"/>
      <w:sz w:val="24"/>
    </w:rPr>
  </w:style>
  <w:style w:type="paragraph" w:styleId="a8">
    <w:name w:val="header"/>
    <w:basedOn w:val="a1"/>
    <w:link w:val="a9"/>
    <w:unhideWhenUsed/>
    <w:rsid w:val="000F4690"/>
    <w:pPr>
      <w:tabs>
        <w:tab w:val="center" w:pos="4677"/>
        <w:tab w:val="right" w:pos="9355"/>
      </w:tabs>
      <w:spacing w:line="240" w:lineRule="auto"/>
    </w:pPr>
  </w:style>
  <w:style w:type="character" w:customStyle="1" w:styleId="a9">
    <w:name w:val="Верхний колонтитул Знак"/>
    <w:basedOn w:val="a2"/>
    <w:link w:val="a8"/>
    <w:rsid w:val="000F4690"/>
  </w:style>
  <w:style w:type="paragraph" w:styleId="aa">
    <w:name w:val="footer"/>
    <w:basedOn w:val="a1"/>
    <w:link w:val="ab"/>
    <w:unhideWhenUsed/>
    <w:rsid w:val="000F4690"/>
    <w:pPr>
      <w:tabs>
        <w:tab w:val="center" w:pos="4677"/>
        <w:tab w:val="right" w:pos="9355"/>
      </w:tabs>
      <w:spacing w:line="240" w:lineRule="auto"/>
    </w:pPr>
  </w:style>
  <w:style w:type="character" w:customStyle="1" w:styleId="ab">
    <w:name w:val="Нижний колонтитул Знак"/>
    <w:basedOn w:val="a2"/>
    <w:link w:val="aa"/>
    <w:rsid w:val="000F4690"/>
  </w:style>
  <w:style w:type="paragraph" w:customStyle="1" w:styleId="Index">
    <w:name w:val="Index"/>
    <w:basedOn w:val="a1"/>
    <w:uiPriority w:val="99"/>
    <w:rsid w:val="00430190"/>
    <w:pPr>
      <w:suppressLineNumbers/>
      <w:suppressAutoHyphens/>
      <w:autoSpaceDN w:val="0"/>
      <w:textAlignment w:val="baseline"/>
    </w:pPr>
    <w:rPr>
      <w:rFonts w:ascii="Calibri" w:eastAsia="Calibri" w:hAnsi="Calibri" w:cs="Mangal"/>
      <w:kern w:val="3"/>
    </w:rPr>
  </w:style>
  <w:style w:type="paragraph" w:styleId="ac">
    <w:name w:val="footnote text"/>
    <w:basedOn w:val="a1"/>
    <w:link w:val="ad"/>
    <w:semiHidden/>
    <w:unhideWhenUsed/>
    <w:rsid w:val="00465882"/>
    <w:pPr>
      <w:spacing w:line="240" w:lineRule="auto"/>
    </w:pPr>
    <w:rPr>
      <w:sz w:val="20"/>
      <w:szCs w:val="20"/>
    </w:rPr>
  </w:style>
  <w:style w:type="character" w:customStyle="1" w:styleId="ad">
    <w:name w:val="Текст сноски Знак"/>
    <w:basedOn w:val="a2"/>
    <w:link w:val="ac"/>
    <w:semiHidden/>
    <w:rsid w:val="00465882"/>
    <w:rPr>
      <w:sz w:val="20"/>
      <w:szCs w:val="20"/>
    </w:rPr>
  </w:style>
  <w:style w:type="character" w:styleId="ae">
    <w:name w:val="footnote reference"/>
    <w:basedOn w:val="a2"/>
    <w:semiHidden/>
    <w:unhideWhenUsed/>
    <w:rsid w:val="00465882"/>
    <w:rPr>
      <w:vertAlign w:val="superscript"/>
    </w:rPr>
  </w:style>
  <w:style w:type="paragraph" w:styleId="af">
    <w:name w:val="TOC Heading"/>
    <w:basedOn w:val="10"/>
    <w:next w:val="a1"/>
    <w:uiPriority w:val="39"/>
    <w:semiHidden/>
    <w:unhideWhenUsed/>
    <w:qFormat/>
    <w:rsid w:val="00F6629B"/>
    <w:pPr>
      <w:outlineLvl w:val="9"/>
    </w:pPr>
  </w:style>
  <w:style w:type="paragraph" w:styleId="32">
    <w:name w:val="toc 3"/>
    <w:basedOn w:val="a1"/>
    <w:next w:val="a1"/>
    <w:autoRedefine/>
    <w:uiPriority w:val="39"/>
    <w:unhideWhenUsed/>
    <w:rsid w:val="00F6629B"/>
    <w:pPr>
      <w:spacing w:after="100"/>
      <w:ind w:left="440"/>
    </w:pPr>
  </w:style>
  <w:style w:type="character" w:styleId="af0">
    <w:name w:val="Hyperlink"/>
    <w:basedOn w:val="a2"/>
    <w:uiPriority w:val="99"/>
    <w:unhideWhenUsed/>
    <w:rsid w:val="00F6629B"/>
    <w:rPr>
      <w:color w:val="0000FF" w:themeColor="hyperlink"/>
      <w:u w:val="single"/>
    </w:rPr>
  </w:style>
  <w:style w:type="paragraph" w:styleId="af1">
    <w:name w:val="Balloon Text"/>
    <w:basedOn w:val="a1"/>
    <w:link w:val="af2"/>
    <w:semiHidden/>
    <w:unhideWhenUsed/>
    <w:rsid w:val="00F6629B"/>
    <w:pPr>
      <w:spacing w:line="240" w:lineRule="auto"/>
    </w:pPr>
    <w:rPr>
      <w:rFonts w:ascii="Tahoma" w:hAnsi="Tahoma" w:cs="Tahoma"/>
      <w:sz w:val="16"/>
      <w:szCs w:val="16"/>
    </w:rPr>
  </w:style>
  <w:style w:type="character" w:customStyle="1" w:styleId="af2">
    <w:name w:val="Текст выноски Знак"/>
    <w:basedOn w:val="a2"/>
    <w:link w:val="af1"/>
    <w:semiHidden/>
    <w:rsid w:val="00F6629B"/>
    <w:rPr>
      <w:rFonts w:ascii="Tahoma" w:hAnsi="Tahoma" w:cs="Tahoma"/>
      <w:sz w:val="16"/>
      <w:szCs w:val="16"/>
    </w:rPr>
  </w:style>
  <w:style w:type="paragraph" w:styleId="13">
    <w:name w:val="toc 1"/>
    <w:basedOn w:val="a1"/>
    <w:next w:val="a1"/>
    <w:autoRedefine/>
    <w:uiPriority w:val="39"/>
    <w:unhideWhenUsed/>
    <w:rsid w:val="00DF58C3"/>
    <w:pPr>
      <w:keepNext/>
      <w:tabs>
        <w:tab w:val="right" w:leader="dot" w:pos="9345"/>
      </w:tabs>
      <w:spacing w:after="100"/>
    </w:pPr>
    <w:rPr>
      <w:b/>
      <w:color w:val="244061" w:themeColor="accent1" w:themeShade="80"/>
      <w:lang w:eastAsia="zh-CN"/>
    </w:rPr>
  </w:style>
  <w:style w:type="paragraph" w:styleId="af3">
    <w:name w:val="No Spacing"/>
    <w:uiPriority w:val="1"/>
    <w:qFormat/>
    <w:rsid w:val="00DD10B7"/>
    <w:pPr>
      <w:spacing w:after="0" w:line="240" w:lineRule="auto"/>
      <w:ind w:firstLine="709"/>
      <w:jc w:val="both"/>
    </w:pPr>
    <w:rPr>
      <w:rFonts w:ascii="Times New Roman" w:hAnsi="Times New Roman"/>
      <w:sz w:val="24"/>
    </w:rPr>
  </w:style>
  <w:style w:type="paragraph" w:styleId="af4">
    <w:name w:val="caption"/>
    <w:basedOn w:val="a1"/>
    <w:next w:val="a1"/>
    <w:link w:val="af5"/>
    <w:uiPriority w:val="35"/>
    <w:unhideWhenUsed/>
    <w:qFormat/>
    <w:rsid w:val="004213C8"/>
    <w:pPr>
      <w:keepNext/>
      <w:keepLines/>
      <w:spacing w:before="0" w:after="120" w:line="240" w:lineRule="auto"/>
      <w:ind w:firstLine="0"/>
      <w:jc w:val="center"/>
    </w:pPr>
    <w:rPr>
      <w:rFonts w:asciiTheme="majorHAnsi" w:hAnsiTheme="majorHAnsi"/>
      <w:b/>
      <w:bCs/>
      <w:color w:val="17365D" w:themeColor="text2" w:themeShade="BF"/>
      <w:szCs w:val="18"/>
    </w:rPr>
  </w:style>
  <w:style w:type="character" w:customStyle="1" w:styleId="af5">
    <w:name w:val="Надпись Знак"/>
    <w:basedOn w:val="a2"/>
    <w:link w:val="af4"/>
    <w:uiPriority w:val="35"/>
    <w:rsid w:val="004213C8"/>
    <w:rPr>
      <w:rFonts w:asciiTheme="majorHAnsi" w:hAnsiTheme="majorHAnsi"/>
      <w:b/>
      <w:bCs/>
      <w:color w:val="17365D" w:themeColor="text2" w:themeShade="BF"/>
      <w:sz w:val="24"/>
      <w:szCs w:val="18"/>
    </w:rPr>
  </w:style>
  <w:style w:type="paragraph" w:customStyle="1" w:styleId="af6">
    <w:name w:val="Заголовок таблицы"/>
    <w:basedOn w:val="af4"/>
    <w:link w:val="af7"/>
    <w:qFormat/>
    <w:rsid w:val="00C87134"/>
    <w:pPr>
      <w:spacing w:before="60" w:after="60"/>
    </w:pPr>
    <w:rPr>
      <w:rFonts w:asciiTheme="minorHAnsi" w:hAnsiTheme="minorHAnsi"/>
      <w:color w:val="FFFFFF" w:themeColor="background1"/>
      <w:sz w:val="26"/>
      <w:szCs w:val="26"/>
    </w:rPr>
  </w:style>
  <w:style w:type="character" w:customStyle="1" w:styleId="af7">
    <w:name w:val="Заголовок таблицы Знак"/>
    <w:basedOn w:val="af5"/>
    <w:link w:val="af6"/>
    <w:rsid w:val="00C87134"/>
    <w:rPr>
      <w:rFonts w:asciiTheme="majorHAnsi" w:hAnsiTheme="majorHAnsi"/>
      <w:b/>
      <w:bCs/>
      <w:color w:val="FFFFFF" w:themeColor="background1"/>
      <w:sz w:val="26"/>
      <w:szCs w:val="26"/>
    </w:rPr>
  </w:style>
  <w:style w:type="paragraph" w:customStyle="1" w:styleId="a0">
    <w:name w:val="Рекомендация"/>
    <w:basedOn w:val="a6"/>
    <w:link w:val="af8"/>
    <w:qFormat/>
    <w:rsid w:val="00426596"/>
    <w:pPr>
      <w:keepNext/>
      <w:keepLines/>
      <w:numPr>
        <w:ilvl w:val="1"/>
        <w:numId w:val="3"/>
      </w:numPr>
      <w:ind w:left="788" w:hanging="431"/>
    </w:pPr>
    <w:rPr>
      <w:rFonts w:cs="Times New Roman"/>
      <w:b/>
    </w:rPr>
  </w:style>
  <w:style w:type="character" w:customStyle="1" w:styleId="af8">
    <w:name w:val="Рекомендация Знак"/>
    <w:basedOn w:val="a7"/>
    <w:link w:val="a0"/>
    <w:rsid w:val="00426596"/>
    <w:rPr>
      <w:rFonts w:ascii="Times New Roman" w:hAnsi="Times New Roman" w:cs="Times New Roman"/>
      <w:b/>
      <w:sz w:val="24"/>
    </w:rPr>
  </w:style>
  <w:style w:type="paragraph" w:customStyle="1" w:styleId="text">
    <w:name w:val="text"/>
    <w:basedOn w:val="a1"/>
    <w:rsid w:val="00B454A2"/>
    <w:pPr>
      <w:spacing w:before="100" w:beforeAutospacing="1" w:after="100" w:afterAutospacing="1" w:line="240" w:lineRule="auto"/>
      <w:ind w:firstLine="0"/>
      <w:jc w:val="left"/>
    </w:pPr>
    <w:rPr>
      <w:rFonts w:eastAsia="Times New Roman" w:cs="Times New Roman"/>
      <w:szCs w:val="24"/>
    </w:rPr>
  </w:style>
  <w:style w:type="character" w:customStyle="1" w:styleId="apple-converted-space">
    <w:name w:val="apple-converted-space"/>
    <w:basedOn w:val="a2"/>
    <w:rsid w:val="00B454A2"/>
  </w:style>
  <w:style w:type="paragraph" w:customStyle="1" w:styleId="author">
    <w:name w:val="author"/>
    <w:basedOn w:val="a1"/>
    <w:rsid w:val="00B454A2"/>
    <w:pPr>
      <w:spacing w:before="100" w:beforeAutospacing="1" w:after="100" w:afterAutospacing="1" w:line="240" w:lineRule="auto"/>
      <w:ind w:firstLine="0"/>
      <w:jc w:val="left"/>
    </w:pPr>
    <w:rPr>
      <w:rFonts w:eastAsia="Times New Roman" w:cs="Times New Roman"/>
      <w:szCs w:val="24"/>
    </w:rPr>
  </w:style>
  <w:style w:type="paragraph" w:styleId="af9">
    <w:name w:val="Normal (Web)"/>
    <w:basedOn w:val="a1"/>
    <w:uiPriority w:val="99"/>
    <w:unhideWhenUsed/>
    <w:rsid w:val="00B454A2"/>
    <w:pPr>
      <w:spacing w:before="100" w:beforeAutospacing="1" w:after="100" w:afterAutospacing="1" w:line="240" w:lineRule="auto"/>
      <w:ind w:firstLine="0"/>
      <w:jc w:val="left"/>
    </w:pPr>
    <w:rPr>
      <w:rFonts w:eastAsia="Times New Roman" w:cs="Times New Roman"/>
      <w:szCs w:val="24"/>
    </w:rPr>
  </w:style>
  <w:style w:type="paragraph" w:customStyle="1" w:styleId="tablename">
    <w:name w:val="tablename"/>
    <w:basedOn w:val="a1"/>
    <w:rsid w:val="00B454A2"/>
    <w:pPr>
      <w:spacing w:before="100" w:beforeAutospacing="1" w:after="100" w:afterAutospacing="1" w:line="240" w:lineRule="auto"/>
      <w:ind w:firstLine="0"/>
      <w:jc w:val="left"/>
    </w:pPr>
    <w:rPr>
      <w:rFonts w:eastAsia="Times New Roman" w:cs="Times New Roman"/>
      <w:szCs w:val="24"/>
    </w:rPr>
  </w:style>
  <w:style w:type="character" w:customStyle="1" w:styleId="afa">
    <w:name w:val="Текст комментария Знак"/>
    <w:basedOn w:val="a2"/>
    <w:link w:val="afb"/>
    <w:semiHidden/>
    <w:rsid w:val="008146B7"/>
    <w:rPr>
      <w:rFonts w:ascii="Times New Roman" w:eastAsia="Times New Roman" w:hAnsi="Times New Roman" w:cs="Times New Roman"/>
      <w:sz w:val="20"/>
      <w:szCs w:val="20"/>
    </w:rPr>
  </w:style>
  <w:style w:type="paragraph" w:styleId="afb">
    <w:name w:val="annotation text"/>
    <w:basedOn w:val="a1"/>
    <w:link w:val="afa"/>
    <w:semiHidden/>
    <w:unhideWhenUsed/>
    <w:rsid w:val="008146B7"/>
    <w:pPr>
      <w:spacing w:before="0" w:line="240" w:lineRule="auto"/>
      <w:ind w:firstLine="0"/>
      <w:jc w:val="left"/>
    </w:pPr>
    <w:rPr>
      <w:rFonts w:eastAsia="Times New Roman" w:cs="Times New Roman"/>
      <w:sz w:val="20"/>
      <w:szCs w:val="20"/>
    </w:rPr>
  </w:style>
  <w:style w:type="paragraph" w:styleId="a">
    <w:name w:val="List Bullet"/>
    <w:basedOn w:val="a1"/>
    <w:autoRedefine/>
    <w:semiHidden/>
    <w:unhideWhenUsed/>
    <w:rsid w:val="008146B7"/>
    <w:pPr>
      <w:numPr>
        <w:numId w:val="4"/>
      </w:numPr>
      <w:tabs>
        <w:tab w:val="clear" w:pos="360"/>
      </w:tabs>
      <w:spacing w:before="0" w:line="240" w:lineRule="auto"/>
      <w:ind w:left="0" w:firstLine="706"/>
      <w:jc w:val="left"/>
    </w:pPr>
    <w:rPr>
      <w:rFonts w:eastAsia="Times New Roman" w:cs="Times New Roman"/>
      <w:szCs w:val="24"/>
    </w:rPr>
  </w:style>
  <w:style w:type="character" w:customStyle="1" w:styleId="afc">
    <w:name w:val="Основной текст Знак"/>
    <w:basedOn w:val="a2"/>
    <w:link w:val="afd"/>
    <w:semiHidden/>
    <w:rsid w:val="008146B7"/>
    <w:rPr>
      <w:rFonts w:ascii="Times New Roman" w:eastAsia="Times New Roman" w:hAnsi="Times New Roman" w:cs="Times New Roman"/>
      <w:sz w:val="20"/>
      <w:szCs w:val="20"/>
    </w:rPr>
  </w:style>
  <w:style w:type="paragraph" w:styleId="afd">
    <w:name w:val="Body Text"/>
    <w:basedOn w:val="a1"/>
    <w:link w:val="afc"/>
    <w:semiHidden/>
    <w:unhideWhenUsed/>
    <w:rsid w:val="008146B7"/>
    <w:pPr>
      <w:spacing w:before="0" w:after="120" w:line="240" w:lineRule="auto"/>
      <w:ind w:firstLine="0"/>
      <w:jc w:val="left"/>
    </w:pPr>
    <w:rPr>
      <w:rFonts w:eastAsia="Times New Roman" w:cs="Times New Roman"/>
      <w:sz w:val="20"/>
      <w:szCs w:val="20"/>
    </w:rPr>
  </w:style>
  <w:style w:type="character" w:customStyle="1" w:styleId="21">
    <w:name w:val="Основной текст 2 Знак"/>
    <w:basedOn w:val="a2"/>
    <w:link w:val="22"/>
    <w:semiHidden/>
    <w:rsid w:val="008146B7"/>
    <w:rPr>
      <w:rFonts w:ascii="Times New Roman" w:eastAsia="Times New Roman" w:hAnsi="Times New Roman" w:cs="Times New Roman"/>
      <w:sz w:val="20"/>
      <w:szCs w:val="20"/>
    </w:rPr>
  </w:style>
  <w:style w:type="paragraph" w:styleId="22">
    <w:name w:val="Body Text 2"/>
    <w:basedOn w:val="a1"/>
    <w:link w:val="21"/>
    <w:semiHidden/>
    <w:unhideWhenUsed/>
    <w:rsid w:val="008146B7"/>
    <w:pPr>
      <w:spacing w:before="0" w:after="120" w:line="480" w:lineRule="auto"/>
      <w:ind w:firstLine="0"/>
      <w:jc w:val="left"/>
    </w:pPr>
    <w:rPr>
      <w:rFonts w:eastAsia="Times New Roman" w:cs="Times New Roman"/>
      <w:sz w:val="20"/>
      <w:szCs w:val="20"/>
    </w:rPr>
  </w:style>
  <w:style w:type="character" w:customStyle="1" w:styleId="23">
    <w:name w:val="Основной текст с отступом 2 Знак"/>
    <w:basedOn w:val="a2"/>
    <w:link w:val="24"/>
    <w:semiHidden/>
    <w:rsid w:val="008146B7"/>
    <w:rPr>
      <w:rFonts w:ascii="Times New Roman" w:eastAsia="Times New Roman" w:hAnsi="Times New Roman" w:cs="Times New Roman"/>
      <w:sz w:val="20"/>
      <w:szCs w:val="20"/>
    </w:rPr>
  </w:style>
  <w:style w:type="paragraph" w:styleId="24">
    <w:name w:val="Body Text Indent 2"/>
    <w:basedOn w:val="a1"/>
    <w:link w:val="23"/>
    <w:semiHidden/>
    <w:unhideWhenUsed/>
    <w:rsid w:val="008146B7"/>
    <w:pPr>
      <w:spacing w:before="0" w:after="120" w:line="480" w:lineRule="auto"/>
      <w:ind w:left="283" w:firstLine="0"/>
      <w:jc w:val="left"/>
    </w:pPr>
    <w:rPr>
      <w:rFonts w:eastAsia="Times New Roman" w:cs="Times New Roman"/>
      <w:sz w:val="20"/>
      <w:szCs w:val="20"/>
    </w:rPr>
  </w:style>
  <w:style w:type="character" w:customStyle="1" w:styleId="afe">
    <w:name w:val="Схема документа Знак"/>
    <w:basedOn w:val="a2"/>
    <w:link w:val="aff"/>
    <w:semiHidden/>
    <w:rsid w:val="008146B7"/>
    <w:rPr>
      <w:rFonts w:ascii="Tahoma" w:eastAsia="Times New Roman" w:hAnsi="Tahoma" w:cs="Tahoma"/>
      <w:sz w:val="20"/>
      <w:szCs w:val="20"/>
      <w:shd w:val="clear" w:color="auto" w:fill="000080"/>
    </w:rPr>
  </w:style>
  <w:style w:type="paragraph" w:styleId="aff">
    <w:name w:val="Document Map"/>
    <w:basedOn w:val="a1"/>
    <w:link w:val="afe"/>
    <w:semiHidden/>
    <w:unhideWhenUsed/>
    <w:rsid w:val="008146B7"/>
    <w:pPr>
      <w:shd w:val="clear" w:color="auto" w:fill="000080"/>
      <w:spacing w:before="0" w:line="240" w:lineRule="auto"/>
      <w:ind w:firstLine="0"/>
      <w:jc w:val="left"/>
    </w:pPr>
    <w:rPr>
      <w:rFonts w:ascii="Tahoma" w:eastAsia="Times New Roman" w:hAnsi="Tahoma" w:cs="Tahoma"/>
      <w:sz w:val="20"/>
      <w:szCs w:val="20"/>
    </w:rPr>
  </w:style>
  <w:style w:type="character" w:customStyle="1" w:styleId="aff0">
    <w:name w:val="Тема примечания Знак"/>
    <w:basedOn w:val="afa"/>
    <w:link w:val="aff1"/>
    <w:semiHidden/>
    <w:rsid w:val="008146B7"/>
    <w:rPr>
      <w:rFonts w:ascii="Times New Roman" w:eastAsia="Times New Roman" w:hAnsi="Times New Roman" w:cs="Times New Roman"/>
      <w:b/>
      <w:bCs/>
      <w:sz w:val="20"/>
      <w:szCs w:val="20"/>
    </w:rPr>
  </w:style>
  <w:style w:type="paragraph" w:styleId="aff1">
    <w:name w:val="annotation subject"/>
    <w:basedOn w:val="afb"/>
    <w:next w:val="afb"/>
    <w:link w:val="aff0"/>
    <w:semiHidden/>
    <w:unhideWhenUsed/>
    <w:rsid w:val="008146B7"/>
    <w:rPr>
      <w:b/>
      <w:bCs/>
    </w:rPr>
  </w:style>
  <w:style w:type="paragraph" w:customStyle="1" w:styleId="14">
    <w:name w:val="Обычный1"/>
    <w:rsid w:val="008146B7"/>
    <w:pPr>
      <w:snapToGrid w:val="0"/>
      <w:spacing w:before="100" w:after="100" w:line="240" w:lineRule="auto"/>
    </w:pPr>
    <w:rPr>
      <w:rFonts w:ascii="Times New Roman" w:eastAsia="Times New Roman" w:hAnsi="Times New Roman" w:cs="Times New Roman"/>
      <w:sz w:val="24"/>
      <w:szCs w:val="20"/>
    </w:rPr>
  </w:style>
  <w:style w:type="paragraph" w:customStyle="1" w:styleId="H3">
    <w:name w:val="H3"/>
    <w:basedOn w:val="a1"/>
    <w:next w:val="a1"/>
    <w:rsid w:val="008146B7"/>
    <w:pPr>
      <w:keepNext/>
      <w:snapToGrid w:val="0"/>
      <w:spacing w:before="100" w:after="100" w:line="240" w:lineRule="auto"/>
      <w:ind w:firstLine="0"/>
      <w:jc w:val="left"/>
      <w:outlineLvl w:val="3"/>
    </w:pPr>
    <w:rPr>
      <w:rFonts w:eastAsia="Times New Roman" w:cs="Times New Roman"/>
      <w:b/>
      <w:sz w:val="28"/>
      <w:szCs w:val="20"/>
    </w:rPr>
  </w:style>
  <w:style w:type="paragraph" w:customStyle="1" w:styleId="aff2">
    <w:name w:val="Официальный"/>
    <w:basedOn w:val="a1"/>
    <w:rsid w:val="008146B7"/>
    <w:pPr>
      <w:spacing w:after="120" w:line="288" w:lineRule="auto"/>
    </w:pPr>
    <w:rPr>
      <w:rFonts w:eastAsia="Times New Roman" w:cs="Times New Roman"/>
      <w:szCs w:val="24"/>
      <w:lang w:eastAsia="sr-Cyrl-CS"/>
    </w:rPr>
  </w:style>
  <w:style w:type="paragraph" w:customStyle="1" w:styleId="15">
    <w:name w:val="Название1"/>
    <w:basedOn w:val="a1"/>
    <w:rsid w:val="008146B7"/>
    <w:pPr>
      <w:spacing w:before="100" w:beforeAutospacing="1" w:after="100" w:afterAutospacing="1" w:line="240" w:lineRule="auto"/>
      <w:ind w:firstLine="0"/>
      <w:jc w:val="left"/>
    </w:pPr>
    <w:rPr>
      <w:rFonts w:eastAsia="Times New Roman" w:cs="Times New Roman"/>
      <w:szCs w:val="24"/>
    </w:rPr>
  </w:style>
  <w:style w:type="paragraph" w:customStyle="1" w:styleId="desc">
    <w:name w:val="desc"/>
    <w:basedOn w:val="a1"/>
    <w:rsid w:val="008146B7"/>
    <w:pPr>
      <w:spacing w:before="100" w:beforeAutospacing="1" w:after="100" w:afterAutospacing="1" w:line="240" w:lineRule="auto"/>
      <w:ind w:firstLine="0"/>
      <w:jc w:val="left"/>
    </w:pPr>
    <w:rPr>
      <w:rFonts w:eastAsia="Times New Roman" w:cs="Times New Roman"/>
      <w:szCs w:val="24"/>
    </w:rPr>
  </w:style>
  <w:style w:type="paragraph" w:customStyle="1" w:styleId="details">
    <w:name w:val="details"/>
    <w:basedOn w:val="a1"/>
    <w:rsid w:val="008146B7"/>
    <w:pPr>
      <w:spacing w:before="100" w:beforeAutospacing="1" w:after="100" w:afterAutospacing="1" w:line="240" w:lineRule="auto"/>
      <w:ind w:firstLine="0"/>
      <w:jc w:val="left"/>
    </w:pPr>
    <w:rPr>
      <w:rFonts w:eastAsia="Times New Roman" w:cs="Times New Roman"/>
      <w:szCs w:val="24"/>
    </w:rPr>
  </w:style>
  <w:style w:type="paragraph" w:customStyle="1" w:styleId="6">
    <w:name w:val="Обычный (веб)6"/>
    <w:basedOn w:val="a1"/>
    <w:rsid w:val="008146B7"/>
    <w:pPr>
      <w:spacing w:before="27" w:after="136" w:line="336" w:lineRule="atLeast"/>
      <w:ind w:firstLine="0"/>
      <w:jc w:val="left"/>
    </w:pPr>
    <w:rPr>
      <w:rFonts w:ascii="Arial" w:eastAsia="Times New Roman" w:hAnsi="Arial" w:cs="Arial"/>
      <w:sz w:val="16"/>
      <w:szCs w:val="16"/>
    </w:rPr>
  </w:style>
  <w:style w:type="character" w:customStyle="1" w:styleId="volume">
    <w:name w:val="volume"/>
    <w:basedOn w:val="a2"/>
    <w:rsid w:val="008146B7"/>
  </w:style>
  <w:style w:type="character" w:customStyle="1" w:styleId="issue">
    <w:name w:val="issue"/>
    <w:basedOn w:val="a2"/>
    <w:rsid w:val="008146B7"/>
  </w:style>
  <w:style w:type="character" w:customStyle="1" w:styleId="pages">
    <w:name w:val="pages"/>
    <w:basedOn w:val="a2"/>
    <w:rsid w:val="008146B7"/>
  </w:style>
  <w:style w:type="character" w:customStyle="1" w:styleId="ti">
    <w:name w:val="ti"/>
    <w:basedOn w:val="a2"/>
    <w:rsid w:val="008146B7"/>
  </w:style>
  <w:style w:type="character" w:customStyle="1" w:styleId="featuredlinkouts">
    <w:name w:val="featured_linkouts"/>
    <w:basedOn w:val="a2"/>
    <w:rsid w:val="008146B7"/>
  </w:style>
  <w:style w:type="character" w:customStyle="1" w:styleId="linkbar">
    <w:name w:val="linkbar"/>
    <w:basedOn w:val="a2"/>
    <w:rsid w:val="008146B7"/>
  </w:style>
  <w:style w:type="character" w:customStyle="1" w:styleId="ext-reflink">
    <w:name w:val="ext-reflink"/>
    <w:basedOn w:val="a2"/>
    <w:rsid w:val="008146B7"/>
  </w:style>
  <w:style w:type="character" w:customStyle="1" w:styleId="fm-vol-iss-date2">
    <w:name w:val="fm-vol-iss-date2"/>
    <w:basedOn w:val="a2"/>
    <w:rsid w:val="008146B7"/>
    <w:rPr>
      <w:rFonts w:ascii="Arial" w:hAnsi="Arial" w:cs="Arial" w:hint="default"/>
      <w:sz w:val="24"/>
      <w:szCs w:val="24"/>
    </w:rPr>
  </w:style>
  <w:style w:type="character" w:customStyle="1" w:styleId="src2">
    <w:name w:val="src2"/>
    <w:basedOn w:val="a2"/>
    <w:rsid w:val="008146B7"/>
    <w:rPr>
      <w:vanish w:val="0"/>
      <w:webHidden w:val="0"/>
      <w:sz w:val="29"/>
      <w:szCs w:val="29"/>
      <w:shd w:val="clear" w:color="auto" w:fill="FFFFFF"/>
      <w:specVanish w:val="0"/>
    </w:rPr>
  </w:style>
  <w:style w:type="character" w:customStyle="1" w:styleId="src">
    <w:name w:val="src"/>
    <w:basedOn w:val="a2"/>
    <w:rsid w:val="008146B7"/>
  </w:style>
  <w:style w:type="character" w:customStyle="1" w:styleId="jrnl">
    <w:name w:val="jrnl"/>
    <w:basedOn w:val="a2"/>
    <w:rsid w:val="008146B7"/>
  </w:style>
  <w:style w:type="character" w:customStyle="1" w:styleId="mixed-citation">
    <w:name w:val="mixed-citation"/>
    <w:basedOn w:val="a2"/>
    <w:rsid w:val="008146B7"/>
  </w:style>
  <w:style w:type="character" w:customStyle="1" w:styleId="ref-journal">
    <w:name w:val="ref-journal"/>
    <w:basedOn w:val="a2"/>
    <w:rsid w:val="008146B7"/>
  </w:style>
  <w:style w:type="character" w:customStyle="1" w:styleId="ref-vol">
    <w:name w:val="ref-vol"/>
    <w:basedOn w:val="a2"/>
    <w:rsid w:val="008146B7"/>
  </w:style>
  <w:style w:type="character" w:customStyle="1" w:styleId="cit-source">
    <w:name w:val="cit-source"/>
    <w:basedOn w:val="a2"/>
    <w:rsid w:val="008146B7"/>
  </w:style>
  <w:style w:type="character" w:customStyle="1" w:styleId="cit-vol3">
    <w:name w:val="cit-vol3"/>
    <w:basedOn w:val="a2"/>
    <w:rsid w:val="008146B7"/>
  </w:style>
  <w:style w:type="character" w:customStyle="1" w:styleId="cit-fpage">
    <w:name w:val="cit-fpage"/>
    <w:basedOn w:val="a2"/>
    <w:rsid w:val="008146B7"/>
  </w:style>
  <w:style w:type="character" w:customStyle="1" w:styleId="cit-pub-date">
    <w:name w:val="cit-pub-date"/>
    <w:basedOn w:val="a2"/>
    <w:rsid w:val="008146B7"/>
  </w:style>
  <w:style w:type="character" w:customStyle="1" w:styleId="ref-journal1">
    <w:name w:val="ref-journal1"/>
    <w:basedOn w:val="a2"/>
    <w:rsid w:val="008146B7"/>
    <w:rPr>
      <w:i/>
      <w:iCs/>
      <w:sz w:val="19"/>
      <w:szCs w:val="19"/>
    </w:rPr>
  </w:style>
  <w:style w:type="character" w:customStyle="1" w:styleId="ref-vol1">
    <w:name w:val="ref-vol1"/>
    <w:basedOn w:val="a2"/>
    <w:rsid w:val="008146B7"/>
    <w:rPr>
      <w:b/>
      <w:bCs/>
      <w:sz w:val="19"/>
      <w:szCs w:val="19"/>
    </w:rPr>
  </w:style>
  <w:style w:type="character" w:customStyle="1" w:styleId="head2">
    <w:name w:val="head2"/>
    <w:basedOn w:val="a2"/>
    <w:rsid w:val="008146B7"/>
  </w:style>
  <w:style w:type="character" w:customStyle="1" w:styleId="cit-auth">
    <w:name w:val="cit-auth"/>
    <w:basedOn w:val="a2"/>
    <w:rsid w:val="008146B7"/>
  </w:style>
  <w:style w:type="character" w:customStyle="1" w:styleId="cit-name-surname">
    <w:name w:val="cit-name-surname"/>
    <w:basedOn w:val="a2"/>
    <w:rsid w:val="008146B7"/>
  </w:style>
  <w:style w:type="character" w:customStyle="1" w:styleId="cit-name-given-names">
    <w:name w:val="cit-name-given-names"/>
    <w:basedOn w:val="a2"/>
    <w:rsid w:val="008146B7"/>
  </w:style>
  <w:style w:type="character" w:customStyle="1" w:styleId="cit-etal">
    <w:name w:val="cit-etal"/>
    <w:basedOn w:val="a2"/>
    <w:rsid w:val="008146B7"/>
  </w:style>
  <w:style w:type="character" w:customStyle="1" w:styleId="cit-authcit-collab">
    <w:name w:val="cit-auth cit-collab"/>
    <w:basedOn w:val="a2"/>
    <w:rsid w:val="008146B7"/>
  </w:style>
  <w:style w:type="character" w:customStyle="1" w:styleId="cit-article-title">
    <w:name w:val="cit-article-title"/>
    <w:basedOn w:val="a2"/>
    <w:rsid w:val="008146B7"/>
  </w:style>
  <w:style w:type="character" w:customStyle="1" w:styleId="cit-vol">
    <w:name w:val="cit-vol"/>
    <w:basedOn w:val="a2"/>
    <w:rsid w:val="008146B7"/>
  </w:style>
  <w:style w:type="character" w:customStyle="1" w:styleId="cit-lpage">
    <w:name w:val="cit-lpage"/>
    <w:basedOn w:val="a2"/>
    <w:rsid w:val="008146B7"/>
  </w:style>
  <w:style w:type="character" w:customStyle="1" w:styleId="fm-vol-iss-date">
    <w:name w:val="fm-vol-iss-date"/>
    <w:basedOn w:val="a2"/>
    <w:rsid w:val="008146B7"/>
  </w:style>
  <w:style w:type="character" w:customStyle="1" w:styleId="apple-style-span">
    <w:name w:val="apple-style-span"/>
    <w:basedOn w:val="a2"/>
    <w:rsid w:val="008146B7"/>
  </w:style>
  <w:style w:type="table" w:customStyle="1" w:styleId="16">
    <w:name w:val="Сетка таблицы1"/>
    <w:basedOn w:val="a3"/>
    <w:next w:val="a5"/>
    <w:rsid w:val="004F5B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B834B6"/>
    <w:pPr>
      <w:numPr>
        <w:numId w:val="6"/>
      </w:numPr>
    </w:pPr>
  </w:style>
  <w:style w:type="paragraph" w:styleId="25">
    <w:name w:val="toc 2"/>
    <w:basedOn w:val="a1"/>
    <w:next w:val="a1"/>
    <w:autoRedefine/>
    <w:uiPriority w:val="39"/>
    <w:unhideWhenUsed/>
    <w:rsid w:val="004A5A2B"/>
    <w:pPr>
      <w:ind w:left="240"/>
    </w:pPr>
  </w:style>
  <w:style w:type="paragraph" w:styleId="42">
    <w:name w:val="toc 4"/>
    <w:basedOn w:val="a1"/>
    <w:next w:val="a1"/>
    <w:autoRedefine/>
    <w:uiPriority w:val="39"/>
    <w:unhideWhenUsed/>
    <w:rsid w:val="004A5A2B"/>
    <w:pPr>
      <w:ind w:left="720"/>
    </w:pPr>
  </w:style>
  <w:style w:type="paragraph" w:styleId="51">
    <w:name w:val="toc 5"/>
    <w:basedOn w:val="a1"/>
    <w:next w:val="a1"/>
    <w:autoRedefine/>
    <w:uiPriority w:val="39"/>
    <w:unhideWhenUsed/>
    <w:rsid w:val="004A5A2B"/>
    <w:pPr>
      <w:ind w:left="960"/>
    </w:pPr>
  </w:style>
  <w:style w:type="paragraph" w:styleId="60">
    <w:name w:val="toc 6"/>
    <w:basedOn w:val="a1"/>
    <w:next w:val="a1"/>
    <w:autoRedefine/>
    <w:uiPriority w:val="39"/>
    <w:unhideWhenUsed/>
    <w:rsid w:val="004A5A2B"/>
    <w:pPr>
      <w:ind w:left="1200"/>
    </w:pPr>
  </w:style>
  <w:style w:type="paragraph" w:styleId="7">
    <w:name w:val="toc 7"/>
    <w:basedOn w:val="a1"/>
    <w:next w:val="a1"/>
    <w:autoRedefine/>
    <w:uiPriority w:val="39"/>
    <w:unhideWhenUsed/>
    <w:rsid w:val="004A5A2B"/>
    <w:pPr>
      <w:ind w:left="1440"/>
    </w:pPr>
  </w:style>
  <w:style w:type="paragraph" w:styleId="8">
    <w:name w:val="toc 8"/>
    <w:basedOn w:val="a1"/>
    <w:next w:val="a1"/>
    <w:autoRedefine/>
    <w:uiPriority w:val="39"/>
    <w:unhideWhenUsed/>
    <w:rsid w:val="004A5A2B"/>
    <w:pPr>
      <w:ind w:left="1680"/>
    </w:pPr>
  </w:style>
  <w:style w:type="paragraph" w:styleId="9">
    <w:name w:val="toc 9"/>
    <w:basedOn w:val="a1"/>
    <w:next w:val="a1"/>
    <w:autoRedefine/>
    <w:uiPriority w:val="39"/>
    <w:unhideWhenUsed/>
    <w:rsid w:val="004A5A2B"/>
    <w:pPr>
      <w:ind w:left="1920"/>
    </w:pPr>
  </w:style>
  <w:style w:type="character" w:customStyle="1" w:styleId="33">
    <w:name w:val="Основной текст3"/>
    <w:uiPriority w:val="99"/>
    <w:rsid w:val="00AE0FF2"/>
  </w:style>
</w:styles>
</file>

<file path=word/webSettings.xml><?xml version="1.0" encoding="utf-8"?>
<w:webSettings xmlns:r="http://schemas.openxmlformats.org/officeDocument/2006/relationships" xmlns:w="http://schemas.openxmlformats.org/wordprocessingml/2006/main">
  <w:divs>
    <w:div w:id="74212102">
      <w:bodyDiv w:val="1"/>
      <w:marLeft w:val="0"/>
      <w:marRight w:val="0"/>
      <w:marTop w:val="0"/>
      <w:marBottom w:val="0"/>
      <w:divBdr>
        <w:top w:val="none" w:sz="0" w:space="0" w:color="auto"/>
        <w:left w:val="none" w:sz="0" w:space="0" w:color="auto"/>
        <w:bottom w:val="none" w:sz="0" w:space="0" w:color="auto"/>
        <w:right w:val="none" w:sz="0" w:space="0" w:color="auto"/>
      </w:divBdr>
    </w:div>
    <w:div w:id="139737611">
      <w:bodyDiv w:val="1"/>
      <w:marLeft w:val="0"/>
      <w:marRight w:val="0"/>
      <w:marTop w:val="0"/>
      <w:marBottom w:val="0"/>
      <w:divBdr>
        <w:top w:val="none" w:sz="0" w:space="0" w:color="auto"/>
        <w:left w:val="none" w:sz="0" w:space="0" w:color="auto"/>
        <w:bottom w:val="none" w:sz="0" w:space="0" w:color="auto"/>
        <w:right w:val="none" w:sz="0" w:space="0" w:color="auto"/>
      </w:divBdr>
    </w:div>
    <w:div w:id="172914506">
      <w:bodyDiv w:val="1"/>
      <w:marLeft w:val="0"/>
      <w:marRight w:val="0"/>
      <w:marTop w:val="0"/>
      <w:marBottom w:val="0"/>
      <w:divBdr>
        <w:top w:val="none" w:sz="0" w:space="0" w:color="auto"/>
        <w:left w:val="none" w:sz="0" w:space="0" w:color="auto"/>
        <w:bottom w:val="none" w:sz="0" w:space="0" w:color="auto"/>
        <w:right w:val="none" w:sz="0" w:space="0" w:color="auto"/>
      </w:divBdr>
    </w:div>
    <w:div w:id="227420313">
      <w:bodyDiv w:val="1"/>
      <w:marLeft w:val="0"/>
      <w:marRight w:val="0"/>
      <w:marTop w:val="0"/>
      <w:marBottom w:val="0"/>
      <w:divBdr>
        <w:top w:val="none" w:sz="0" w:space="0" w:color="auto"/>
        <w:left w:val="none" w:sz="0" w:space="0" w:color="auto"/>
        <w:bottom w:val="none" w:sz="0" w:space="0" w:color="auto"/>
        <w:right w:val="none" w:sz="0" w:space="0" w:color="auto"/>
      </w:divBdr>
    </w:div>
    <w:div w:id="406994620">
      <w:bodyDiv w:val="1"/>
      <w:marLeft w:val="0"/>
      <w:marRight w:val="0"/>
      <w:marTop w:val="0"/>
      <w:marBottom w:val="0"/>
      <w:divBdr>
        <w:top w:val="none" w:sz="0" w:space="0" w:color="auto"/>
        <w:left w:val="none" w:sz="0" w:space="0" w:color="auto"/>
        <w:bottom w:val="none" w:sz="0" w:space="0" w:color="auto"/>
        <w:right w:val="none" w:sz="0" w:space="0" w:color="auto"/>
      </w:divBdr>
    </w:div>
    <w:div w:id="559439357">
      <w:bodyDiv w:val="1"/>
      <w:marLeft w:val="0"/>
      <w:marRight w:val="0"/>
      <w:marTop w:val="0"/>
      <w:marBottom w:val="0"/>
      <w:divBdr>
        <w:top w:val="none" w:sz="0" w:space="0" w:color="auto"/>
        <w:left w:val="none" w:sz="0" w:space="0" w:color="auto"/>
        <w:bottom w:val="none" w:sz="0" w:space="0" w:color="auto"/>
        <w:right w:val="none" w:sz="0" w:space="0" w:color="auto"/>
      </w:divBdr>
    </w:div>
    <w:div w:id="801459524">
      <w:bodyDiv w:val="1"/>
      <w:marLeft w:val="0"/>
      <w:marRight w:val="0"/>
      <w:marTop w:val="0"/>
      <w:marBottom w:val="0"/>
      <w:divBdr>
        <w:top w:val="none" w:sz="0" w:space="0" w:color="auto"/>
        <w:left w:val="none" w:sz="0" w:space="0" w:color="auto"/>
        <w:bottom w:val="none" w:sz="0" w:space="0" w:color="auto"/>
        <w:right w:val="none" w:sz="0" w:space="0" w:color="auto"/>
      </w:divBdr>
    </w:div>
    <w:div w:id="897672150">
      <w:bodyDiv w:val="1"/>
      <w:marLeft w:val="0"/>
      <w:marRight w:val="0"/>
      <w:marTop w:val="0"/>
      <w:marBottom w:val="0"/>
      <w:divBdr>
        <w:top w:val="none" w:sz="0" w:space="0" w:color="auto"/>
        <w:left w:val="none" w:sz="0" w:space="0" w:color="auto"/>
        <w:bottom w:val="none" w:sz="0" w:space="0" w:color="auto"/>
        <w:right w:val="none" w:sz="0" w:space="0" w:color="auto"/>
      </w:divBdr>
    </w:div>
    <w:div w:id="1036659203">
      <w:bodyDiv w:val="1"/>
      <w:marLeft w:val="0"/>
      <w:marRight w:val="0"/>
      <w:marTop w:val="0"/>
      <w:marBottom w:val="0"/>
      <w:divBdr>
        <w:top w:val="none" w:sz="0" w:space="0" w:color="auto"/>
        <w:left w:val="none" w:sz="0" w:space="0" w:color="auto"/>
        <w:bottom w:val="none" w:sz="0" w:space="0" w:color="auto"/>
        <w:right w:val="none" w:sz="0" w:space="0" w:color="auto"/>
      </w:divBdr>
      <w:divsChild>
        <w:div w:id="951086889">
          <w:marLeft w:val="547"/>
          <w:marRight w:val="0"/>
          <w:marTop w:val="0"/>
          <w:marBottom w:val="0"/>
          <w:divBdr>
            <w:top w:val="none" w:sz="0" w:space="0" w:color="auto"/>
            <w:left w:val="none" w:sz="0" w:space="0" w:color="auto"/>
            <w:bottom w:val="none" w:sz="0" w:space="0" w:color="auto"/>
            <w:right w:val="none" w:sz="0" w:space="0" w:color="auto"/>
          </w:divBdr>
        </w:div>
        <w:div w:id="1779256714">
          <w:marLeft w:val="547"/>
          <w:marRight w:val="0"/>
          <w:marTop w:val="0"/>
          <w:marBottom w:val="0"/>
          <w:divBdr>
            <w:top w:val="none" w:sz="0" w:space="0" w:color="auto"/>
            <w:left w:val="none" w:sz="0" w:space="0" w:color="auto"/>
            <w:bottom w:val="none" w:sz="0" w:space="0" w:color="auto"/>
            <w:right w:val="none" w:sz="0" w:space="0" w:color="auto"/>
          </w:divBdr>
        </w:div>
        <w:div w:id="49811882">
          <w:marLeft w:val="547"/>
          <w:marRight w:val="0"/>
          <w:marTop w:val="0"/>
          <w:marBottom w:val="0"/>
          <w:divBdr>
            <w:top w:val="none" w:sz="0" w:space="0" w:color="auto"/>
            <w:left w:val="none" w:sz="0" w:space="0" w:color="auto"/>
            <w:bottom w:val="none" w:sz="0" w:space="0" w:color="auto"/>
            <w:right w:val="none" w:sz="0" w:space="0" w:color="auto"/>
          </w:divBdr>
        </w:div>
        <w:div w:id="1140146644">
          <w:marLeft w:val="547"/>
          <w:marRight w:val="0"/>
          <w:marTop w:val="0"/>
          <w:marBottom w:val="0"/>
          <w:divBdr>
            <w:top w:val="none" w:sz="0" w:space="0" w:color="auto"/>
            <w:left w:val="none" w:sz="0" w:space="0" w:color="auto"/>
            <w:bottom w:val="none" w:sz="0" w:space="0" w:color="auto"/>
            <w:right w:val="none" w:sz="0" w:space="0" w:color="auto"/>
          </w:divBdr>
        </w:div>
        <w:div w:id="1319455858">
          <w:marLeft w:val="547"/>
          <w:marRight w:val="0"/>
          <w:marTop w:val="0"/>
          <w:marBottom w:val="0"/>
          <w:divBdr>
            <w:top w:val="none" w:sz="0" w:space="0" w:color="auto"/>
            <w:left w:val="none" w:sz="0" w:space="0" w:color="auto"/>
            <w:bottom w:val="none" w:sz="0" w:space="0" w:color="auto"/>
            <w:right w:val="none" w:sz="0" w:space="0" w:color="auto"/>
          </w:divBdr>
        </w:div>
      </w:divsChild>
    </w:div>
    <w:div w:id="1042169974">
      <w:bodyDiv w:val="1"/>
      <w:marLeft w:val="0"/>
      <w:marRight w:val="0"/>
      <w:marTop w:val="0"/>
      <w:marBottom w:val="0"/>
      <w:divBdr>
        <w:top w:val="none" w:sz="0" w:space="0" w:color="auto"/>
        <w:left w:val="none" w:sz="0" w:space="0" w:color="auto"/>
        <w:bottom w:val="none" w:sz="0" w:space="0" w:color="auto"/>
        <w:right w:val="none" w:sz="0" w:space="0" w:color="auto"/>
      </w:divBdr>
      <w:divsChild>
        <w:div w:id="1013262989">
          <w:marLeft w:val="0"/>
          <w:marRight w:val="0"/>
          <w:marTop w:val="0"/>
          <w:marBottom w:val="0"/>
          <w:divBdr>
            <w:top w:val="none" w:sz="0" w:space="0" w:color="auto"/>
            <w:left w:val="none" w:sz="0" w:space="0" w:color="auto"/>
            <w:bottom w:val="none" w:sz="0" w:space="0" w:color="auto"/>
            <w:right w:val="none" w:sz="0" w:space="0" w:color="auto"/>
          </w:divBdr>
        </w:div>
        <w:div w:id="77559046">
          <w:marLeft w:val="0"/>
          <w:marRight w:val="0"/>
          <w:marTop w:val="0"/>
          <w:marBottom w:val="0"/>
          <w:divBdr>
            <w:top w:val="none" w:sz="0" w:space="0" w:color="auto"/>
            <w:left w:val="none" w:sz="0" w:space="0" w:color="auto"/>
            <w:bottom w:val="none" w:sz="0" w:space="0" w:color="auto"/>
            <w:right w:val="none" w:sz="0" w:space="0" w:color="auto"/>
          </w:divBdr>
        </w:div>
        <w:div w:id="663780518">
          <w:marLeft w:val="0"/>
          <w:marRight w:val="0"/>
          <w:marTop w:val="0"/>
          <w:marBottom w:val="0"/>
          <w:divBdr>
            <w:top w:val="none" w:sz="0" w:space="0" w:color="auto"/>
            <w:left w:val="none" w:sz="0" w:space="0" w:color="auto"/>
            <w:bottom w:val="none" w:sz="0" w:space="0" w:color="auto"/>
            <w:right w:val="none" w:sz="0" w:space="0" w:color="auto"/>
          </w:divBdr>
        </w:div>
        <w:div w:id="226114089">
          <w:marLeft w:val="0"/>
          <w:marRight w:val="0"/>
          <w:marTop w:val="0"/>
          <w:marBottom w:val="0"/>
          <w:divBdr>
            <w:top w:val="none" w:sz="0" w:space="0" w:color="auto"/>
            <w:left w:val="none" w:sz="0" w:space="0" w:color="auto"/>
            <w:bottom w:val="none" w:sz="0" w:space="0" w:color="auto"/>
            <w:right w:val="none" w:sz="0" w:space="0" w:color="auto"/>
          </w:divBdr>
        </w:div>
        <w:div w:id="1222250023">
          <w:marLeft w:val="0"/>
          <w:marRight w:val="0"/>
          <w:marTop w:val="0"/>
          <w:marBottom w:val="0"/>
          <w:divBdr>
            <w:top w:val="none" w:sz="0" w:space="0" w:color="auto"/>
            <w:left w:val="none" w:sz="0" w:space="0" w:color="auto"/>
            <w:bottom w:val="none" w:sz="0" w:space="0" w:color="auto"/>
            <w:right w:val="none" w:sz="0" w:space="0" w:color="auto"/>
          </w:divBdr>
        </w:div>
        <w:div w:id="1837190923">
          <w:marLeft w:val="0"/>
          <w:marRight w:val="0"/>
          <w:marTop w:val="0"/>
          <w:marBottom w:val="0"/>
          <w:divBdr>
            <w:top w:val="none" w:sz="0" w:space="0" w:color="auto"/>
            <w:left w:val="none" w:sz="0" w:space="0" w:color="auto"/>
            <w:bottom w:val="none" w:sz="0" w:space="0" w:color="auto"/>
            <w:right w:val="none" w:sz="0" w:space="0" w:color="auto"/>
          </w:divBdr>
        </w:div>
      </w:divsChild>
    </w:div>
    <w:div w:id="1083452517">
      <w:bodyDiv w:val="1"/>
      <w:marLeft w:val="0"/>
      <w:marRight w:val="0"/>
      <w:marTop w:val="0"/>
      <w:marBottom w:val="0"/>
      <w:divBdr>
        <w:top w:val="none" w:sz="0" w:space="0" w:color="auto"/>
        <w:left w:val="none" w:sz="0" w:space="0" w:color="auto"/>
        <w:bottom w:val="none" w:sz="0" w:space="0" w:color="auto"/>
        <w:right w:val="none" w:sz="0" w:space="0" w:color="auto"/>
      </w:divBdr>
    </w:div>
    <w:div w:id="1186947791">
      <w:bodyDiv w:val="1"/>
      <w:marLeft w:val="0"/>
      <w:marRight w:val="0"/>
      <w:marTop w:val="0"/>
      <w:marBottom w:val="0"/>
      <w:divBdr>
        <w:top w:val="none" w:sz="0" w:space="0" w:color="auto"/>
        <w:left w:val="none" w:sz="0" w:space="0" w:color="auto"/>
        <w:bottom w:val="none" w:sz="0" w:space="0" w:color="auto"/>
        <w:right w:val="none" w:sz="0" w:space="0" w:color="auto"/>
      </w:divBdr>
    </w:div>
    <w:div w:id="1446921754">
      <w:bodyDiv w:val="1"/>
      <w:marLeft w:val="0"/>
      <w:marRight w:val="0"/>
      <w:marTop w:val="0"/>
      <w:marBottom w:val="0"/>
      <w:divBdr>
        <w:top w:val="none" w:sz="0" w:space="0" w:color="auto"/>
        <w:left w:val="none" w:sz="0" w:space="0" w:color="auto"/>
        <w:bottom w:val="none" w:sz="0" w:space="0" w:color="auto"/>
        <w:right w:val="none" w:sz="0" w:space="0" w:color="auto"/>
      </w:divBdr>
    </w:div>
    <w:div w:id="1493252491">
      <w:bodyDiv w:val="1"/>
      <w:marLeft w:val="0"/>
      <w:marRight w:val="0"/>
      <w:marTop w:val="0"/>
      <w:marBottom w:val="0"/>
      <w:divBdr>
        <w:top w:val="none" w:sz="0" w:space="0" w:color="auto"/>
        <w:left w:val="none" w:sz="0" w:space="0" w:color="auto"/>
        <w:bottom w:val="none" w:sz="0" w:space="0" w:color="auto"/>
        <w:right w:val="none" w:sz="0" w:space="0" w:color="auto"/>
      </w:divBdr>
      <w:divsChild>
        <w:div w:id="161162119">
          <w:marLeft w:val="0"/>
          <w:marRight w:val="90"/>
          <w:marTop w:val="0"/>
          <w:marBottom w:val="0"/>
          <w:divBdr>
            <w:top w:val="none" w:sz="0" w:space="0" w:color="auto"/>
            <w:left w:val="none" w:sz="0" w:space="0" w:color="auto"/>
            <w:bottom w:val="none" w:sz="0" w:space="0" w:color="auto"/>
            <w:right w:val="none" w:sz="0" w:space="0" w:color="auto"/>
          </w:divBdr>
        </w:div>
        <w:div w:id="486822620">
          <w:marLeft w:val="0"/>
          <w:marRight w:val="90"/>
          <w:marTop w:val="0"/>
          <w:marBottom w:val="0"/>
          <w:divBdr>
            <w:top w:val="none" w:sz="0" w:space="0" w:color="auto"/>
            <w:left w:val="none" w:sz="0" w:space="0" w:color="auto"/>
            <w:bottom w:val="none" w:sz="0" w:space="0" w:color="auto"/>
            <w:right w:val="none" w:sz="0" w:space="0" w:color="auto"/>
          </w:divBdr>
        </w:div>
        <w:div w:id="494691977">
          <w:marLeft w:val="0"/>
          <w:marRight w:val="90"/>
          <w:marTop w:val="0"/>
          <w:marBottom w:val="0"/>
          <w:divBdr>
            <w:top w:val="none" w:sz="0" w:space="0" w:color="auto"/>
            <w:left w:val="none" w:sz="0" w:space="0" w:color="auto"/>
            <w:bottom w:val="none" w:sz="0" w:space="0" w:color="auto"/>
            <w:right w:val="none" w:sz="0" w:space="0" w:color="auto"/>
          </w:divBdr>
        </w:div>
        <w:div w:id="554857946">
          <w:marLeft w:val="0"/>
          <w:marRight w:val="90"/>
          <w:marTop w:val="0"/>
          <w:marBottom w:val="0"/>
          <w:divBdr>
            <w:top w:val="none" w:sz="0" w:space="0" w:color="auto"/>
            <w:left w:val="none" w:sz="0" w:space="0" w:color="auto"/>
            <w:bottom w:val="none" w:sz="0" w:space="0" w:color="auto"/>
            <w:right w:val="none" w:sz="0" w:space="0" w:color="auto"/>
          </w:divBdr>
        </w:div>
        <w:div w:id="768811644">
          <w:marLeft w:val="0"/>
          <w:marRight w:val="90"/>
          <w:marTop w:val="0"/>
          <w:marBottom w:val="0"/>
          <w:divBdr>
            <w:top w:val="none" w:sz="0" w:space="0" w:color="auto"/>
            <w:left w:val="none" w:sz="0" w:space="0" w:color="auto"/>
            <w:bottom w:val="none" w:sz="0" w:space="0" w:color="auto"/>
            <w:right w:val="none" w:sz="0" w:space="0" w:color="auto"/>
          </w:divBdr>
        </w:div>
        <w:div w:id="868446773">
          <w:marLeft w:val="0"/>
          <w:marRight w:val="90"/>
          <w:marTop w:val="0"/>
          <w:marBottom w:val="0"/>
          <w:divBdr>
            <w:top w:val="none" w:sz="0" w:space="0" w:color="auto"/>
            <w:left w:val="none" w:sz="0" w:space="0" w:color="auto"/>
            <w:bottom w:val="none" w:sz="0" w:space="0" w:color="auto"/>
            <w:right w:val="none" w:sz="0" w:space="0" w:color="auto"/>
          </w:divBdr>
        </w:div>
        <w:div w:id="1090152845">
          <w:marLeft w:val="0"/>
          <w:marRight w:val="90"/>
          <w:marTop w:val="0"/>
          <w:marBottom w:val="0"/>
          <w:divBdr>
            <w:top w:val="none" w:sz="0" w:space="0" w:color="auto"/>
            <w:left w:val="none" w:sz="0" w:space="0" w:color="auto"/>
            <w:bottom w:val="none" w:sz="0" w:space="0" w:color="auto"/>
            <w:right w:val="none" w:sz="0" w:space="0" w:color="auto"/>
          </w:divBdr>
        </w:div>
        <w:div w:id="1235430818">
          <w:marLeft w:val="0"/>
          <w:marRight w:val="90"/>
          <w:marTop w:val="0"/>
          <w:marBottom w:val="0"/>
          <w:divBdr>
            <w:top w:val="none" w:sz="0" w:space="0" w:color="auto"/>
            <w:left w:val="none" w:sz="0" w:space="0" w:color="auto"/>
            <w:bottom w:val="none" w:sz="0" w:space="0" w:color="auto"/>
            <w:right w:val="none" w:sz="0" w:space="0" w:color="auto"/>
          </w:divBdr>
        </w:div>
        <w:div w:id="1367868290">
          <w:marLeft w:val="0"/>
          <w:marRight w:val="90"/>
          <w:marTop w:val="0"/>
          <w:marBottom w:val="0"/>
          <w:divBdr>
            <w:top w:val="none" w:sz="0" w:space="0" w:color="auto"/>
            <w:left w:val="none" w:sz="0" w:space="0" w:color="auto"/>
            <w:bottom w:val="none" w:sz="0" w:space="0" w:color="auto"/>
            <w:right w:val="none" w:sz="0" w:space="0" w:color="auto"/>
          </w:divBdr>
        </w:div>
        <w:div w:id="1540821751">
          <w:marLeft w:val="0"/>
          <w:marRight w:val="90"/>
          <w:marTop w:val="0"/>
          <w:marBottom w:val="0"/>
          <w:divBdr>
            <w:top w:val="none" w:sz="0" w:space="0" w:color="auto"/>
            <w:left w:val="none" w:sz="0" w:space="0" w:color="auto"/>
            <w:bottom w:val="none" w:sz="0" w:space="0" w:color="auto"/>
            <w:right w:val="none" w:sz="0" w:space="0" w:color="auto"/>
          </w:divBdr>
        </w:div>
        <w:div w:id="1835106130">
          <w:marLeft w:val="0"/>
          <w:marRight w:val="90"/>
          <w:marTop w:val="0"/>
          <w:marBottom w:val="0"/>
          <w:divBdr>
            <w:top w:val="none" w:sz="0" w:space="0" w:color="auto"/>
            <w:left w:val="none" w:sz="0" w:space="0" w:color="auto"/>
            <w:bottom w:val="none" w:sz="0" w:space="0" w:color="auto"/>
            <w:right w:val="none" w:sz="0" w:space="0" w:color="auto"/>
          </w:divBdr>
        </w:div>
        <w:div w:id="1997605681">
          <w:marLeft w:val="0"/>
          <w:marRight w:val="90"/>
          <w:marTop w:val="0"/>
          <w:marBottom w:val="0"/>
          <w:divBdr>
            <w:top w:val="none" w:sz="0" w:space="0" w:color="auto"/>
            <w:left w:val="none" w:sz="0" w:space="0" w:color="auto"/>
            <w:bottom w:val="none" w:sz="0" w:space="0" w:color="auto"/>
            <w:right w:val="none" w:sz="0" w:space="0" w:color="auto"/>
          </w:divBdr>
        </w:div>
        <w:div w:id="2033990391">
          <w:marLeft w:val="0"/>
          <w:marRight w:val="90"/>
          <w:marTop w:val="0"/>
          <w:marBottom w:val="0"/>
          <w:divBdr>
            <w:top w:val="none" w:sz="0" w:space="0" w:color="auto"/>
            <w:left w:val="none" w:sz="0" w:space="0" w:color="auto"/>
            <w:bottom w:val="none" w:sz="0" w:space="0" w:color="auto"/>
            <w:right w:val="none" w:sz="0" w:space="0" w:color="auto"/>
          </w:divBdr>
        </w:div>
        <w:div w:id="2068062970">
          <w:marLeft w:val="0"/>
          <w:marRight w:val="90"/>
          <w:marTop w:val="0"/>
          <w:marBottom w:val="0"/>
          <w:divBdr>
            <w:top w:val="none" w:sz="0" w:space="0" w:color="auto"/>
            <w:left w:val="none" w:sz="0" w:space="0" w:color="auto"/>
            <w:bottom w:val="none" w:sz="0" w:space="0" w:color="auto"/>
            <w:right w:val="none" w:sz="0" w:space="0" w:color="auto"/>
          </w:divBdr>
        </w:div>
      </w:divsChild>
    </w:div>
    <w:div w:id="1585529774">
      <w:bodyDiv w:val="1"/>
      <w:marLeft w:val="0"/>
      <w:marRight w:val="0"/>
      <w:marTop w:val="0"/>
      <w:marBottom w:val="0"/>
      <w:divBdr>
        <w:top w:val="none" w:sz="0" w:space="0" w:color="auto"/>
        <w:left w:val="none" w:sz="0" w:space="0" w:color="auto"/>
        <w:bottom w:val="none" w:sz="0" w:space="0" w:color="auto"/>
        <w:right w:val="none" w:sz="0" w:space="0" w:color="auto"/>
      </w:divBdr>
    </w:div>
    <w:div w:id="1621496751">
      <w:bodyDiv w:val="1"/>
      <w:marLeft w:val="0"/>
      <w:marRight w:val="0"/>
      <w:marTop w:val="0"/>
      <w:marBottom w:val="0"/>
      <w:divBdr>
        <w:top w:val="none" w:sz="0" w:space="0" w:color="auto"/>
        <w:left w:val="none" w:sz="0" w:space="0" w:color="auto"/>
        <w:bottom w:val="none" w:sz="0" w:space="0" w:color="auto"/>
        <w:right w:val="none" w:sz="0" w:space="0" w:color="auto"/>
      </w:divBdr>
      <w:divsChild>
        <w:div w:id="719019117">
          <w:marLeft w:val="0"/>
          <w:marRight w:val="0"/>
          <w:marTop w:val="0"/>
          <w:marBottom w:val="0"/>
          <w:divBdr>
            <w:top w:val="none" w:sz="0" w:space="0" w:color="auto"/>
            <w:left w:val="none" w:sz="0" w:space="0" w:color="auto"/>
            <w:bottom w:val="none" w:sz="0" w:space="0" w:color="auto"/>
            <w:right w:val="none" w:sz="0" w:space="0" w:color="auto"/>
          </w:divBdr>
          <w:divsChild>
            <w:div w:id="687873442">
              <w:marLeft w:val="0"/>
              <w:marRight w:val="0"/>
              <w:marTop w:val="0"/>
              <w:marBottom w:val="0"/>
              <w:divBdr>
                <w:top w:val="none" w:sz="0" w:space="0" w:color="auto"/>
                <w:left w:val="none" w:sz="0" w:space="0" w:color="auto"/>
                <w:bottom w:val="none" w:sz="0" w:space="0" w:color="auto"/>
                <w:right w:val="none" w:sz="0" w:space="0" w:color="auto"/>
              </w:divBdr>
              <w:divsChild>
                <w:div w:id="541359086">
                  <w:marLeft w:val="0"/>
                  <w:marRight w:val="0"/>
                  <w:marTop w:val="0"/>
                  <w:marBottom w:val="0"/>
                  <w:divBdr>
                    <w:top w:val="none" w:sz="0" w:space="0" w:color="auto"/>
                    <w:left w:val="none" w:sz="0" w:space="0" w:color="auto"/>
                    <w:bottom w:val="none" w:sz="0" w:space="0" w:color="auto"/>
                    <w:right w:val="none" w:sz="0" w:space="0" w:color="auto"/>
                  </w:divBdr>
                  <w:divsChild>
                    <w:div w:id="2676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39019">
      <w:bodyDiv w:val="1"/>
      <w:marLeft w:val="0"/>
      <w:marRight w:val="0"/>
      <w:marTop w:val="0"/>
      <w:marBottom w:val="0"/>
      <w:divBdr>
        <w:top w:val="none" w:sz="0" w:space="0" w:color="auto"/>
        <w:left w:val="none" w:sz="0" w:space="0" w:color="auto"/>
        <w:bottom w:val="none" w:sz="0" w:space="0" w:color="auto"/>
        <w:right w:val="none" w:sz="0" w:space="0" w:color="auto"/>
      </w:divBdr>
    </w:div>
    <w:div w:id="1732001129">
      <w:bodyDiv w:val="1"/>
      <w:marLeft w:val="0"/>
      <w:marRight w:val="0"/>
      <w:marTop w:val="0"/>
      <w:marBottom w:val="0"/>
      <w:divBdr>
        <w:top w:val="none" w:sz="0" w:space="0" w:color="auto"/>
        <w:left w:val="none" w:sz="0" w:space="0" w:color="auto"/>
        <w:bottom w:val="none" w:sz="0" w:space="0" w:color="auto"/>
        <w:right w:val="none" w:sz="0" w:space="0" w:color="auto"/>
      </w:divBdr>
    </w:div>
    <w:div w:id="1799104386">
      <w:bodyDiv w:val="1"/>
      <w:marLeft w:val="0"/>
      <w:marRight w:val="0"/>
      <w:marTop w:val="0"/>
      <w:marBottom w:val="0"/>
      <w:divBdr>
        <w:top w:val="none" w:sz="0" w:space="0" w:color="auto"/>
        <w:left w:val="none" w:sz="0" w:space="0" w:color="auto"/>
        <w:bottom w:val="none" w:sz="0" w:space="0" w:color="auto"/>
        <w:right w:val="none" w:sz="0" w:space="0" w:color="auto"/>
      </w:divBdr>
    </w:div>
    <w:div w:id="1837921140">
      <w:bodyDiv w:val="1"/>
      <w:marLeft w:val="0"/>
      <w:marRight w:val="0"/>
      <w:marTop w:val="0"/>
      <w:marBottom w:val="0"/>
      <w:divBdr>
        <w:top w:val="none" w:sz="0" w:space="0" w:color="auto"/>
        <w:left w:val="none" w:sz="0" w:space="0" w:color="auto"/>
        <w:bottom w:val="none" w:sz="0" w:space="0" w:color="auto"/>
        <w:right w:val="none" w:sz="0" w:space="0" w:color="auto"/>
      </w:divBdr>
      <w:divsChild>
        <w:div w:id="155194300">
          <w:marLeft w:val="547"/>
          <w:marRight w:val="0"/>
          <w:marTop w:val="173"/>
          <w:marBottom w:val="0"/>
          <w:divBdr>
            <w:top w:val="none" w:sz="0" w:space="0" w:color="auto"/>
            <w:left w:val="none" w:sz="0" w:space="0" w:color="auto"/>
            <w:bottom w:val="none" w:sz="0" w:space="0" w:color="auto"/>
            <w:right w:val="none" w:sz="0" w:space="0" w:color="auto"/>
          </w:divBdr>
        </w:div>
        <w:div w:id="362678899">
          <w:marLeft w:val="547"/>
          <w:marRight w:val="0"/>
          <w:marTop w:val="173"/>
          <w:marBottom w:val="0"/>
          <w:divBdr>
            <w:top w:val="none" w:sz="0" w:space="0" w:color="auto"/>
            <w:left w:val="none" w:sz="0" w:space="0" w:color="auto"/>
            <w:bottom w:val="none" w:sz="0" w:space="0" w:color="auto"/>
            <w:right w:val="none" w:sz="0" w:space="0" w:color="auto"/>
          </w:divBdr>
        </w:div>
        <w:div w:id="784540523">
          <w:marLeft w:val="547"/>
          <w:marRight w:val="0"/>
          <w:marTop w:val="173"/>
          <w:marBottom w:val="0"/>
          <w:divBdr>
            <w:top w:val="none" w:sz="0" w:space="0" w:color="auto"/>
            <w:left w:val="none" w:sz="0" w:space="0" w:color="auto"/>
            <w:bottom w:val="none" w:sz="0" w:space="0" w:color="auto"/>
            <w:right w:val="none" w:sz="0" w:space="0" w:color="auto"/>
          </w:divBdr>
        </w:div>
        <w:div w:id="844831557">
          <w:marLeft w:val="547"/>
          <w:marRight w:val="0"/>
          <w:marTop w:val="173"/>
          <w:marBottom w:val="0"/>
          <w:divBdr>
            <w:top w:val="none" w:sz="0" w:space="0" w:color="auto"/>
            <w:left w:val="none" w:sz="0" w:space="0" w:color="auto"/>
            <w:bottom w:val="none" w:sz="0" w:space="0" w:color="auto"/>
            <w:right w:val="none" w:sz="0" w:space="0" w:color="auto"/>
          </w:divBdr>
        </w:div>
        <w:div w:id="936249546">
          <w:marLeft w:val="547"/>
          <w:marRight w:val="0"/>
          <w:marTop w:val="173"/>
          <w:marBottom w:val="0"/>
          <w:divBdr>
            <w:top w:val="none" w:sz="0" w:space="0" w:color="auto"/>
            <w:left w:val="none" w:sz="0" w:space="0" w:color="auto"/>
            <w:bottom w:val="none" w:sz="0" w:space="0" w:color="auto"/>
            <w:right w:val="none" w:sz="0" w:space="0" w:color="auto"/>
          </w:divBdr>
        </w:div>
        <w:div w:id="1662658270">
          <w:marLeft w:val="547"/>
          <w:marRight w:val="0"/>
          <w:marTop w:val="173"/>
          <w:marBottom w:val="0"/>
          <w:divBdr>
            <w:top w:val="none" w:sz="0" w:space="0" w:color="auto"/>
            <w:left w:val="none" w:sz="0" w:space="0" w:color="auto"/>
            <w:bottom w:val="none" w:sz="0" w:space="0" w:color="auto"/>
            <w:right w:val="none" w:sz="0" w:space="0" w:color="auto"/>
          </w:divBdr>
        </w:div>
      </w:divsChild>
    </w:div>
    <w:div w:id="1903443245">
      <w:bodyDiv w:val="1"/>
      <w:marLeft w:val="0"/>
      <w:marRight w:val="0"/>
      <w:marTop w:val="0"/>
      <w:marBottom w:val="0"/>
      <w:divBdr>
        <w:top w:val="none" w:sz="0" w:space="0" w:color="auto"/>
        <w:left w:val="none" w:sz="0" w:space="0" w:color="auto"/>
        <w:bottom w:val="none" w:sz="0" w:space="0" w:color="auto"/>
        <w:right w:val="none" w:sz="0" w:space="0" w:color="auto"/>
      </w:divBdr>
    </w:div>
    <w:div w:id="1944260536">
      <w:bodyDiv w:val="1"/>
      <w:marLeft w:val="0"/>
      <w:marRight w:val="0"/>
      <w:marTop w:val="0"/>
      <w:marBottom w:val="0"/>
      <w:divBdr>
        <w:top w:val="none" w:sz="0" w:space="0" w:color="auto"/>
        <w:left w:val="none" w:sz="0" w:space="0" w:color="auto"/>
        <w:bottom w:val="none" w:sz="0" w:space="0" w:color="auto"/>
        <w:right w:val="none" w:sz="0" w:space="0" w:color="auto"/>
      </w:divBdr>
    </w:div>
    <w:div w:id="2123451859">
      <w:bodyDiv w:val="1"/>
      <w:marLeft w:val="0"/>
      <w:marRight w:val="0"/>
      <w:marTop w:val="0"/>
      <w:marBottom w:val="0"/>
      <w:divBdr>
        <w:top w:val="none" w:sz="0" w:space="0" w:color="auto"/>
        <w:left w:val="none" w:sz="0" w:space="0" w:color="auto"/>
        <w:bottom w:val="none" w:sz="0" w:space="0" w:color="auto"/>
        <w:right w:val="none" w:sz="0" w:space="0" w:color="auto"/>
      </w:divBdr>
      <w:divsChild>
        <w:div w:id="1227228774">
          <w:marLeft w:val="864"/>
          <w:marRight w:val="0"/>
          <w:marTop w:val="173"/>
          <w:marBottom w:val="0"/>
          <w:divBdr>
            <w:top w:val="none" w:sz="0" w:space="0" w:color="auto"/>
            <w:left w:val="none" w:sz="0" w:space="0" w:color="auto"/>
            <w:bottom w:val="none" w:sz="0" w:space="0" w:color="auto"/>
            <w:right w:val="none" w:sz="0" w:space="0" w:color="auto"/>
          </w:divBdr>
        </w:div>
        <w:div w:id="744914569">
          <w:marLeft w:val="864"/>
          <w:marRight w:val="0"/>
          <w:marTop w:val="173"/>
          <w:marBottom w:val="0"/>
          <w:divBdr>
            <w:top w:val="none" w:sz="0" w:space="0" w:color="auto"/>
            <w:left w:val="none" w:sz="0" w:space="0" w:color="auto"/>
            <w:bottom w:val="none" w:sz="0" w:space="0" w:color="auto"/>
            <w:right w:val="none" w:sz="0" w:space="0" w:color="auto"/>
          </w:divBdr>
        </w:div>
        <w:div w:id="402794467">
          <w:marLeft w:val="864"/>
          <w:marRight w:val="0"/>
          <w:marTop w:val="173"/>
          <w:marBottom w:val="0"/>
          <w:divBdr>
            <w:top w:val="none" w:sz="0" w:space="0" w:color="auto"/>
            <w:left w:val="none" w:sz="0" w:space="0" w:color="auto"/>
            <w:bottom w:val="none" w:sz="0" w:space="0" w:color="auto"/>
            <w:right w:val="none" w:sz="0" w:space="0" w:color="auto"/>
          </w:divBdr>
        </w:div>
        <w:div w:id="1261838940">
          <w:marLeft w:val="1368"/>
          <w:marRight w:val="0"/>
          <w:marTop w:val="144"/>
          <w:marBottom w:val="0"/>
          <w:divBdr>
            <w:top w:val="none" w:sz="0" w:space="0" w:color="auto"/>
            <w:left w:val="none" w:sz="0" w:space="0" w:color="auto"/>
            <w:bottom w:val="none" w:sz="0" w:space="0" w:color="auto"/>
            <w:right w:val="none" w:sz="0" w:space="0" w:color="auto"/>
          </w:divBdr>
        </w:div>
        <w:div w:id="760488476">
          <w:marLeft w:val="1786"/>
          <w:marRight w:val="0"/>
          <w:marTop w:val="144"/>
          <w:marBottom w:val="0"/>
          <w:divBdr>
            <w:top w:val="none" w:sz="0" w:space="0" w:color="auto"/>
            <w:left w:val="none" w:sz="0" w:space="0" w:color="auto"/>
            <w:bottom w:val="none" w:sz="0" w:space="0" w:color="auto"/>
            <w:right w:val="none" w:sz="0" w:space="0" w:color="auto"/>
          </w:divBdr>
        </w:div>
        <w:div w:id="1760442851">
          <w:marLeft w:val="1786"/>
          <w:marRight w:val="0"/>
          <w:marTop w:val="144"/>
          <w:marBottom w:val="0"/>
          <w:divBdr>
            <w:top w:val="none" w:sz="0" w:space="0" w:color="auto"/>
            <w:left w:val="none" w:sz="0" w:space="0" w:color="auto"/>
            <w:bottom w:val="none" w:sz="0" w:space="0" w:color="auto"/>
            <w:right w:val="none" w:sz="0" w:space="0" w:color="auto"/>
          </w:divBdr>
        </w:div>
        <w:div w:id="1071850993">
          <w:marLeft w:val="1368"/>
          <w:marRight w:val="0"/>
          <w:marTop w:val="144"/>
          <w:marBottom w:val="0"/>
          <w:divBdr>
            <w:top w:val="none" w:sz="0" w:space="0" w:color="auto"/>
            <w:left w:val="none" w:sz="0" w:space="0" w:color="auto"/>
            <w:bottom w:val="none" w:sz="0" w:space="0" w:color="auto"/>
            <w:right w:val="none" w:sz="0" w:space="0" w:color="auto"/>
          </w:divBdr>
        </w:div>
        <w:div w:id="2068257443">
          <w:marLeft w:val="1368"/>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57"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2046-4DD1-40EC-84E6-BFEF8364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65429</Words>
  <Characters>372948</Characters>
  <Application>Microsoft Office Word</Application>
  <DocSecurity>0</DocSecurity>
  <Lines>3107</Lines>
  <Paragraphs>875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cp:lastPrinted>2014-11-21T13:56:00Z</cp:lastPrinted>
  <dcterms:created xsi:type="dcterms:W3CDTF">2015-01-19T07:14:00Z</dcterms:created>
  <dcterms:modified xsi:type="dcterms:W3CDTF">2015-01-19T07:14:00Z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mshvetsov@yandex.ru@www.mendeley.com</vt:lpwstr>
  </property>
  <property fmtid="{D5CDD505-2E9C-101B-9397-08002B2CF9AE}" pid="4" name="Mendeley Citation Style_1">
    <vt:lpwstr>http://www.zotero.org/styles/gost-r-7-0-5-2008</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http://www.zotero.org/styles/gost-r-7-0-5-2008</vt:lpwstr>
  </property>
  <property fmtid="{D5CDD505-2E9C-101B-9397-08002B2CF9AE}" pid="22" name="Mendeley Recent Style Name 8_1">
    <vt:lpwstr>Russian GOST R 7.0.5-2008 (Russian)</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