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861" w:rsidRPr="00460861" w:rsidRDefault="00460861" w:rsidP="004608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60861">
        <w:rPr>
          <w:rFonts w:ascii="Times New Roman" w:hAnsi="Times New Roman" w:cs="Times New Roman"/>
          <w:sz w:val="24"/>
          <w:szCs w:val="24"/>
        </w:rPr>
        <w:t>МИНИСТЕРСТВО ЗДРАВООХРАНЕНИЯ РЕСПУБЛИКИ БАШКОРТОСТАН                                                    ФГБОУ ВО    «БАШКИРСКИЙ ГОСУДАРСТВЕННЫЙ МЕДИЦИНСКИЙ УНИВЕРСИТЕТ»      МИНИСТЕРСТВА ЗДРАВООХРАНЕНИЯ  РФ                                                                                             ИНСТИТУТ ДОПОЛНИТЕЛЬНОГО ПРОФЕССИОНАЛЬНОГО ОБРАЗОВАНИЯ</w:t>
      </w:r>
    </w:p>
    <w:p w:rsidR="00460861" w:rsidRPr="00460861" w:rsidRDefault="00460861" w:rsidP="0046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0861">
        <w:rPr>
          <w:rFonts w:ascii="Times New Roman" w:hAnsi="Times New Roman" w:cs="Times New Roman"/>
          <w:sz w:val="28"/>
          <w:szCs w:val="28"/>
        </w:rPr>
        <w:t>Кафедра терапии и ОВП с курсом гериатрии</w:t>
      </w:r>
    </w:p>
    <w:p w:rsidR="00460861" w:rsidRPr="00460861" w:rsidRDefault="00460861" w:rsidP="0046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0861" w:rsidRPr="00460861" w:rsidRDefault="00460861" w:rsidP="004608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0861" w:rsidRPr="00460861" w:rsidRDefault="00460861" w:rsidP="004608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0861" w:rsidRDefault="00460861" w:rsidP="00460861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60861" w:rsidRDefault="00460861" w:rsidP="00460861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60861" w:rsidRDefault="00460861" w:rsidP="00460861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60861" w:rsidRDefault="00460861" w:rsidP="00460861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60861" w:rsidRDefault="00460861" w:rsidP="00460861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60861" w:rsidRPr="00460861" w:rsidRDefault="00460861" w:rsidP="0046086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60861" w:rsidRPr="00460861" w:rsidRDefault="00460861" w:rsidP="004608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0861" w:rsidRPr="00460861" w:rsidRDefault="00460861" w:rsidP="00460861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46086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60861">
        <w:rPr>
          <w:rFonts w:ascii="Times New Roman" w:hAnsi="Times New Roman" w:cs="Times New Roman"/>
          <w:b/>
          <w:sz w:val="36"/>
          <w:szCs w:val="36"/>
        </w:rPr>
        <w:t>ИСТИНННАЯ ПОЛИЦИТЕМИЯ</w:t>
      </w:r>
    </w:p>
    <w:p w:rsidR="00460861" w:rsidRPr="00460861" w:rsidRDefault="00460861" w:rsidP="00460861">
      <w:pPr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460861" w:rsidRPr="00460861" w:rsidRDefault="00460861" w:rsidP="00460861">
      <w:pPr>
        <w:jc w:val="both"/>
        <w:rPr>
          <w:rFonts w:ascii="Times New Roman" w:hAnsi="Times New Roman" w:cs="Times New Roman"/>
          <w:sz w:val="28"/>
          <w:szCs w:val="28"/>
        </w:rPr>
      </w:pPr>
      <w:r w:rsidRPr="00460861">
        <w:rPr>
          <w:rFonts w:ascii="Times New Roman" w:hAnsi="Times New Roman" w:cs="Times New Roman"/>
          <w:sz w:val="28"/>
          <w:szCs w:val="28"/>
        </w:rPr>
        <w:t xml:space="preserve">                                Методические рекомендации</w:t>
      </w:r>
    </w:p>
    <w:p w:rsidR="00460861" w:rsidRPr="00460861" w:rsidRDefault="00460861" w:rsidP="004608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0861" w:rsidRPr="00460861" w:rsidRDefault="00460861" w:rsidP="004608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0861" w:rsidRPr="00460861" w:rsidRDefault="00460861" w:rsidP="004608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0861" w:rsidRPr="00460861" w:rsidRDefault="00460861" w:rsidP="004608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0861" w:rsidRPr="00460861" w:rsidRDefault="00460861" w:rsidP="004608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0861" w:rsidRPr="00460861" w:rsidRDefault="00460861" w:rsidP="004608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0861" w:rsidRPr="00855CA9" w:rsidRDefault="00460861" w:rsidP="00460861">
      <w:pPr>
        <w:jc w:val="both"/>
        <w:rPr>
          <w:rFonts w:ascii="Times New Roman" w:hAnsi="Times New Roman" w:cs="Times New Roman"/>
          <w:sz w:val="28"/>
          <w:szCs w:val="28"/>
        </w:rPr>
      </w:pPr>
      <w:r w:rsidRPr="00460861">
        <w:rPr>
          <w:rFonts w:ascii="Times New Roman" w:hAnsi="Times New Roman" w:cs="Times New Roman"/>
          <w:sz w:val="28"/>
          <w:szCs w:val="28"/>
        </w:rPr>
        <w:t xml:space="preserve">                                             г. Уфа - 2017</w:t>
      </w:r>
      <w:r w:rsidRPr="00460861">
        <w:rPr>
          <w:rFonts w:ascii="Times New Roman" w:hAnsi="Times New Roman" w:cs="Times New Roman"/>
          <w:sz w:val="28"/>
          <w:szCs w:val="28"/>
        </w:rPr>
        <w:br w:type="page"/>
      </w:r>
    </w:p>
    <w:p w:rsidR="00460861" w:rsidRPr="00460861" w:rsidRDefault="00683EBA" w:rsidP="004608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60861">
        <w:rPr>
          <w:rFonts w:ascii="Times New Roman" w:hAnsi="Times New Roman" w:cs="Times New Roman"/>
          <w:sz w:val="24"/>
          <w:szCs w:val="24"/>
        </w:rPr>
        <w:lastRenderedPageBreak/>
        <w:t xml:space="preserve">МИНИСТЕРСТВО ЗДРАВООХРАНЕНИЯ РЕСПУБЛИКИ БАШКОРТОСТАН                                                    </w:t>
      </w:r>
      <w:r w:rsidR="009A18A1" w:rsidRPr="00460861">
        <w:rPr>
          <w:rFonts w:ascii="Times New Roman" w:hAnsi="Times New Roman" w:cs="Times New Roman"/>
          <w:sz w:val="24"/>
          <w:szCs w:val="24"/>
        </w:rPr>
        <w:t>Ф</w:t>
      </w:r>
      <w:r w:rsidRPr="00460861">
        <w:rPr>
          <w:rFonts w:ascii="Times New Roman" w:hAnsi="Times New Roman" w:cs="Times New Roman"/>
          <w:sz w:val="24"/>
          <w:szCs w:val="24"/>
        </w:rPr>
        <w:t>ГБОУ ВО</w:t>
      </w:r>
      <w:r w:rsidR="009A18A1" w:rsidRPr="00460861">
        <w:rPr>
          <w:rFonts w:ascii="Times New Roman" w:hAnsi="Times New Roman" w:cs="Times New Roman"/>
          <w:sz w:val="24"/>
          <w:szCs w:val="24"/>
        </w:rPr>
        <w:t xml:space="preserve">    «БАШКИРСКИЙ ГОСУДАРСТВЕННЫЙ МЕДИЦИНСКИЙ </w:t>
      </w:r>
      <w:r w:rsidRPr="00460861">
        <w:rPr>
          <w:rFonts w:ascii="Times New Roman" w:hAnsi="Times New Roman" w:cs="Times New Roman"/>
          <w:sz w:val="24"/>
          <w:szCs w:val="24"/>
        </w:rPr>
        <w:t>УНИВЕРСИТЕТ»      МИНИСТЕРСТВА ЗДРАВООХРАНЕНИЯ</w:t>
      </w:r>
      <w:r w:rsidR="009A18A1" w:rsidRPr="00460861">
        <w:rPr>
          <w:rFonts w:ascii="Times New Roman" w:hAnsi="Times New Roman" w:cs="Times New Roman"/>
          <w:sz w:val="24"/>
          <w:szCs w:val="24"/>
        </w:rPr>
        <w:t xml:space="preserve">  </w:t>
      </w:r>
      <w:r w:rsidRPr="00460861">
        <w:rPr>
          <w:rFonts w:ascii="Times New Roman" w:hAnsi="Times New Roman" w:cs="Times New Roman"/>
          <w:sz w:val="24"/>
          <w:szCs w:val="24"/>
        </w:rPr>
        <w:t xml:space="preserve">РФ                                                                                             </w:t>
      </w:r>
      <w:r w:rsidR="009A18A1" w:rsidRPr="00460861">
        <w:rPr>
          <w:rFonts w:ascii="Times New Roman" w:hAnsi="Times New Roman" w:cs="Times New Roman"/>
          <w:sz w:val="24"/>
          <w:szCs w:val="24"/>
        </w:rPr>
        <w:t>ИНСТИТУТ ДОПОЛ</w:t>
      </w:r>
      <w:r w:rsidR="00460861" w:rsidRPr="00460861">
        <w:rPr>
          <w:rFonts w:ascii="Times New Roman" w:hAnsi="Times New Roman" w:cs="Times New Roman"/>
          <w:sz w:val="24"/>
          <w:szCs w:val="24"/>
        </w:rPr>
        <w:t>НИТЕЛЬНОГО ПРОФЕССИОНАЛЬНОГО ОБРАЗОВАНИЯ</w:t>
      </w:r>
    </w:p>
    <w:p w:rsidR="001A6F3C" w:rsidRPr="00460861" w:rsidRDefault="00460861" w:rsidP="0046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0861">
        <w:rPr>
          <w:rFonts w:ascii="Times New Roman" w:hAnsi="Times New Roman" w:cs="Times New Roman"/>
          <w:sz w:val="28"/>
          <w:szCs w:val="28"/>
        </w:rPr>
        <w:t xml:space="preserve">Кафедра терапии и ОВП с курсом </w:t>
      </w:r>
      <w:r w:rsidRPr="00460861">
        <w:rPr>
          <w:rFonts w:ascii="Times New Roman" w:hAnsi="Times New Roman" w:cs="Times New Roman"/>
          <w:sz w:val="28"/>
          <w:szCs w:val="28"/>
        </w:rPr>
        <w:t>гериатрии</w:t>
      </w:r>
    </w:p>
    <w:p w:rsidR="00460861" w:rsidRPr="00460861" w:rsidRDefault="00460861" w:rsidP="0046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6F3C" w:rsidRPr="00460861" w:rsidRDefault="001A6F3C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6F3C" w:rsidRPr="00460861" w:rsidRDefault="001A6F3C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BA" w:rsidRPr="00460861" w:rsidRDefault="003722BA" w:rsidP="00460861">
      <w:pPr>
        <w:tabs>
          <w:tab w:val="left" w:pos="564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0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="00460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460861">
        <w:rPr>
          <w:rFonts w:ascii="Times New Roman" w:eastAsia="Calibri" w:hAnsi="Times New Roman" w:cs="Times New Roman"/>
          <w:sz w:val="28"/>
          <w:szCs w:val="28"/>
          <w:lang w:eastAsia="ru-RU"/>
        </w:rPr>
        <w:t>«Утверждаю»</w:t>
      </w:r>
      <w:r w:rsidR="00460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722BA" w:rsidRPr="00460861" w:rsidRDefault="003722BA" w:rsidP="003722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0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Министр здравоохранения</w:t>
      </w:r>
    </w:p>
    <w:p w:rsidR="003722BA" w:rsidRPr="00460861" w:rsidRDefault="003722BA" w:rsidP="003722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0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Республики Башкортостан</w:t>
      </w:r>
    </w:p>
    <w:p w:rsidR="003722BA" w:rsidRPr="00460861" w:rsidRDefault="003722BA" w:rsidP="003722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0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___________ А.А. Бакиров</w:t>
      </w:r>
    </w:p>
    <w:p w:rsidR="003722BA" w:rsidRPr="00460861" w:rsidRDefault="003722BA" w:rsidP="003722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0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«______»_________ 2017 г.</w:t>
      </w:r>
    </w:p>
    <w:p w:rsidR="003722BA" w:rsidRPr="00460861" w:rsidRDefault="003722BA" w:rsidP="003722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22BA" w:rsidRPr="00460861" w:rsidRDefault="003722BA" w:rsidP="003722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A6F3C" w:rsidRPr="00460861" w:rsidRDefault="001A6F3C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6F3C" w:rsidRPr="00460861" w:rsidRDefault="001A6F3C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460861" w:rsidRDefault="00B84C55" w:rsidP="004E0876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46086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60861">
        <w:rPr>
          <w:rFonts w:ascii="Times New Roman" w:hAnsi="Times New Roman" w:cs="Times New Roman"/>
          <w:b/>
          <w:sz w:val="36"/>
          <w:szCs w:val="36"/>
        </w:rPr>
        <w:t>ИСТИНННАЯ ПОЛИЦИТЕМИЯ</w:t>
      </w:r>
    </w:p>
    <w:p w:rsidR="00AF1EDB" w:rsidRPr="00460861" w:rsidRDefault="00AF1EDB" w:rsidP="004E0876">
      <w:pPr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5133E7" w:rsidRPr="00460861" w:rsidRDefault="005133E7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46086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84C55" w:rsidRPr="00460861">
        <w:rPr>
          <w:rFonts w:ascii="Times New Roman" w:hAnsi="Times New Roman" w:cs="Times New Roman"/>
          <w:sz w:val="28"/>
          <w:szCs w:val="28"/>
        </w:rPr>
        <w:t xml:space="preserve">      </w:t>
      </w:r>
      <w:r w:rsidRPr="00460861">
        <w:rPr>
          <w:rFonts w:ascii="Times New Roman" w:hAnsi="Times New Roman" w:cs="Times New Roman"/>
          <w:sz w:val="28"/>
          <w:szCs w:val="28"/>
        </w:rPr>
        <w:t xml:space="preserve">   Методические рекомендации</w:t>
      </w:r>
    </w:p>
    <w:p w:rsidR="00AF1EDB" w:rsidRPr="00460861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460861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460861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460861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460861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6C97" w:rsidRPr="00460861" w:rsidRDefault="004B6C97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855CA9" w:rsidRDefault="004B6C97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460861">
        <w:rPr>
          <w:rFonts w:ascii="Times New Roman" w:hAnsi="Times New Roman" w:cs="Times New Roman"/>
          <w:sz w:val="28"/>
          <w:szCs w:val="28"/>
        </w:rPr>
        <w:t xml:space="preserve">                                             г. Уфа - 2017</w:t>
      </w:r>
      <w:r w:rsidR="00AF1EDB" w:rsidRPr="00460861">
        <w:rPr>
          <w:rFonts w:ascii="Times New Roman" w:hAnsi="Times New Roman" w:cs="Times New Roman"/>
          <w:sz w:val="28"/>
          <w:szCs w:val="28"/>
        </w:rPr>
        <w:br w:type="page"/>
      </w:r>
    </w:p>
    <w:p w:rsidR="00E92F3F" w:rsidRDefault="00E92F3F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УДК 616.15(03)</w:t>
      </w:r>
    </w:p>
    <w:p w:rsidR="00E92F3F" w:rsidRDefault="00E92F3F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ББК 54.11</w:t>
      </w:r>
      <w:r w:rsidR="004608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(2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аш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E92F3F" w:rsidRDefault="00E92F3F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0-11</w:t>
      </w:r>
    </w:p>
    <w:p w:rsidR="00E92F3F" w:rsidRDefault="00E92F3F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855CA9" w:rsidRDefault="00833C19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«Истинная полицитемия» методические рекомендации для терапевтов, гематологов, врачей общей практики,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акушер-гинекологов</w:t>
      </w:r>
      <w:proofErr w:type="gramEnd"/>
      <w:r>
        <w:rPr>
          <w:rFonts w:ascii="Times New Roman" w:hAnsi="Times New Roman" w:cs="Times New Roman"/>
          <w:sz w:val="28"/>
          <w:szCs w:val="28"/>
        </w:rPr>
        <w:t>, курсантов ИДПО и студентов медицинских ВУЗов.</w:t>
      </w:r>
    </w:p>
    <w:p w:rsidR="00AF1EDB" w:rsidRPr="00855CA9" w:rsidRDefault="00B84C55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Уфа 2017, </w:t>
      </w:r>
      <w:r w:rsidR="007E675D">
        <w:rPr>
          <w:rFonts w:ascii="Times New Roman" w:hAnsi="Times New Roman" w:cs="Times New Roman"/>
          <w:sz w:val="28"/>
          <w:szCs w:val="28"/>
        </w:rPr>
        <w:t>28</w:t>
      </w:r>
      <w:r w:rsidR="004056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proofErr w:type="gramStart"/>
      <w:r w:rsidR="00833C19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833C19">
        <w:rPr>
          <w:rFonts w:ascii="Times New Roman" w:hAnsi="Times New Roman" w:cs="Times New Roman"/>
          <w:sz w:val="28"/>
          <w:szCs w:val="28"/>
        </w:rPr>
        <w:t>:</w:t>
      </w:r>
      <w:r w:rsidR="00017465">
        <w:rPr>
          <w:rFonts w:ascii="Times New Roman" w:hAnsi="Times New Roman" w:cs="Times New Roman"/>
          <w:sz w:val="28"/>
          <w:szCs w:val="28"/>
        </w:rPr>
        <w:t xml:space="preserve"> </w:t>
      </w:r>
      <w:r w:rsidR="00833C19">
        <w:rPr>
          <w:rFonts w:ascii="Times New Roman" w:hAnsi="Times New Roman" w:cs="Times New Roman"/>
          <w:sz w:val="28"/>
          <w:szCs w:val="28"/>
        </w:rPr>
        <w:t>изд. МЗ РБ</w:t>
      </w:r>
    </w:p>
    <w:p w:rsidR="00AF1EDB" w:rsidRPr="00855CA9" w:rsidRDefault="004B6C97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</w:t>
      </w:r>
      <w:r w:rsidR="00833C19">
        <w:rPr>
          <w:rFonts w:ascii="Times New Roman" w:hAnsi="Times New Roman" w:cs="Times New Roman"/>
          <w:sz w:val="28"/>
          <w:szCs w:val="28"/>
        </w:rPr>
        <w:t>ли</w:t>
      </w:r>
      <w:r w:rsidR="00E65D23">
        <w:rPr>
          <w:rFonts w:ascii="Times New Roman" w:hAnsi="Times New Roman" w:cs="Times New Roman"/>
          <w:sz w:val="28"/>
          <w:szCs w:val="28"/>
        </w:rPr>
        <w:t xml:space="preserve">: </w:t>
      </w:r>
      <w:r w:rsidR="00833C19">
        <w:rPr>
          <w:rFonts w:ascii="Times New Roman" w:hAnsi="Times New Roman" w:cs="Times New Roman"/>
          <w:sz w:val="28"/>
          <w:szCs w:val="28"/>
        </w:rPr>
        <w:t xml:space="preserve">Сафуанова Г.Ш., </w:t>
      </w:r>
      <w:r w:rsidR="00E65D23">
        <w:rPr>
          <w:rFonts w:ascii="Times New Roman" w:hAnsi="Times New Roman" w:cs="Times New Roman"/>
          <w:sz w:val="28"/>
          <w:szCs w:val="28"/>
        </w:rPr>
        <w:t xml:space="preserve"> Гаврилюк Р.Р.,</w:t>
      </w:r>
      <w:r w:rsidR="00C956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65A">
        <w:rPr>
          <w:rFonts w:ascii="Times New Roman" w:hAnsi="Times New Roman" w:cs="Times New Roman"/>
          <w:sz w:val="28"/>
          <w:szCs w:val="28"/>
        </w:rPr>
        <w:t>Рябчикова</w:t>
      </w:r>
      <w:proofErr w:type="spellEnd"/>
      <w:r w:rsidR="00C9565A">
        <w:rPr>
          <w:rFonts w:ascii="Times New Roman" w:hAnsi="Times New Roman" w:cs="Times New Roman"/>
          <w:sz w:val="28"/>
          <w:szCs w:val="28"/>
        </w:rPr>
        <w:t xml:space="preserve"> Н.Р.,</w:t>
      </w:r>
      <w:r w:rsidR="00E65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3C19">
        <w:rPr>
          <w:rFonts w:ascii="Times New Roman" w:hAnsi="Times New Roman" w:cs="Times New Roman"/>
          <w:sz w:val="28"/>
          <w:szCs w:val="28"/>
        </w:rPr>
        <w:t>Никуличева</w:t>
      </w:r>
      <w:proofErr w:type="spellEnd"/>
      <w:r w:rsidR="00833C19">
        <w:rPr>
          <w:rFonts w:ascii="Times New Roman" w:hAnsi="Times New Roman" w:cs="Times New Roman"/>
          <w:sz w:val="28"/>
          <w:szCs w:val="28"/>
        </w:rPr>
        <w:t xml:space="preserve"> В.И.</w:t>
      </w:r>
      <w:r w:rsidR="00B84C55">
        <w:rPr>
          <w:rFonts w:ascii="Times New Roman" w:hAnsi="Times New Roman" w:cs="Times New Roman"/>
          <w:sz w:val="28"/>
          <w:szCs w:val="28"/>
        </w:rPr>
        <w:t xml:space="preserve">, Царева Е.Г., </w:t>
      </w:r>
      <w:proofErr w:type="spellStart"/>
      <w:r w:rsidR="00B84C55">
        <w:rPr>
          <w:rFonts w:ascii="Times New Roman" w:hAnsi="Times New Roman" w:cs="Times New Roman"/>
          <w:sz w:val="28"/>
          <w:szCs w:val="28"/>
        </w:rPr>
        <w:t>Гайсарова</w:t>
      </w:r>
      <w:proofErr w:type="spellEnd"/>
      <w:r w:rsidR="00B84C55">
        <w:rPr>
          <w:rFonts w:ascii="Times New Roman" w:hAnsi="Times New Roman" w:cs="Times New Roman"/>
          <w:sz w:val="28"/>
          <w:szCs w:val="28"/>
        </w:rPr>
        <w:t xml:space="preserve"> Г.А.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6916" w:rsidRDefault="00833C19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Методические рекомендации посвящены актуальным вопросам клиники, диагностики и лечения истинной полицитемии</w:t>
      </w:r>
      <w:r w:rsidR="00E65D23">
        <w:rPr>
          <w:rFonts w:ascii="Times New Roman" w:hAnsi="Times New Roman" w:cs="Times New Roman"/>
          <w:sz w:val="28"/>
          <w:szCs w:val="28"/>
        </w:rPr>
        <w:t>, приведен обзор современных исследований по этой проблеме, освящены характеристика и принципы выбора метода лечения больных истинной полицитемией, а также эффективность терапии данной патологии. Да</w:t>
      </w:r>
      <w:r w:rsidR="000A6916">
        <w:rPr>
          <w:rFonts w:ascii="Times New Roman" w:hAnsi="Times New Roman" w:cs="Times New Roman"/>
          <w:sz w:val="28"/>
          <w:szCs w:val="28"/>
        </w:rPr>
        <w:t xml:space="preserve">нные представлены на </w:t>
      </w:r>
      <w:proofErr w:type="gramStart"/>
      <w:r w:rsidR="000A6916">
        <w:rPr>
          <w:rFonts w:ascii="Times New Roman" w:hAnsi="Times New Roman" w:cs="Times New Roman"/>
          <w:sz w:val="28"/>
          <w:szCs w:val="28"/>
        </w:rPr>
        <w:t>основе утвержденных на</w:t>
      </w:r>
      <w:proofErr w:type="gramEnd"/>
      <w:r w:rsidR="000A6916" w:rsidRPr="00855CA9">
        <w:rPr>
          <w:rFonts w:ascii="Times New Roman" w:hAnsi="Times New Roman" w:cs="Times New Roman"/>
          <w:sz w:val="28"/>
          <w:szCs w:val="28"/>
        </w:rPr>
        <w:t xml:space="preserve"> II Конгрессе гематологов России</w:t>
      </w:r>
      <w:r w:rsidR="005133E7">
        <w:rPr>
          <w:rFonts w:ascii="Times New Roman" w:hAnsi="Times New Roman" w:cs="Times New Roman"/>
          <w:sz w:val="28"/>
          <w:szCs w:val="28"/>
        </w:rPr>
        <w:t xml:space="preserve"> </w:t>
      </w:r>
      <w:r w:rsidR="000A6916" w:rsidRPr="00855CA9">
        <w:rPr>
          <w:rFonts w:ascii="Times New Roman" w:hAnsi="Times New Roman" w:cs="Times New Roman"/>
          <w:sz w:val="28"/>
          <w:szCs w:val="28"/>
        </w:rPr>
        <w:t>(апрель 2014г)</w:t>
      </w:r>
      <w:r w:rsidR="000A6916">
        <w:rPr>
          <w:rFonts w:ascii="Times New Roman" w:hAnsi="Times New Roman" w:cs="Times New Roman"/>
          <w:sz w:val="28"/>
          <w:szCs w:val="28"/>
        </w:rPr>
        <w:t xml:space="preserve"> Национальных клинических рекомендаций по  диагностике и терапии </w:t>
      </w:r>
      <w:proofErr w:type="spellStart"/>
      <w:r w:rsidR="007E675D">
        <w:rPr>
          <w:rFonts w:ascii="Times New Roman" w:hAnsi="Times New Roman" w:cs="Times New Roman"/>
          <w:sz w:val="28"/>
          <w:szCs w:val="28"/>
          <w:lang w:val="en-US"/>
        </w:rPr>
        <w:t>Ph</w:t>
      </w:r>
      <w:proofErr w:type="spellEnd"/>
      <w:r w:rsidR="007E675D">
        <w:rPr>
          <w:rFonts w:ascii="Times New Roman" w:hAnsi="Times New Roman" w:cs="Times New Roman"/>
          <w:sz w:val="28"/>
          <w:szCs w:val="28"/>
        </w:rPr>
        <w:t xml:space="preserve">-негативных </w:t>
      </w:r>
      <w:proofErr w:type="spellStart"/>
      <w:r w:rsidR="007E675D">
        <w:rPr>
          <w:rFonts w:ascii="Times New Roman" w:hAnsi="Times New Roman" w:cs="Times New Roman"/>
          <w:sz w:val="28"/>
          <w:szCs w:val="28"/>
        </w:rPr>
        <w:t>миелопролиферативных</w:t>
      </w:r>
      <w:proofErr w:type="spellEnd"/>
      <w:r w:rsidR="007E675D">
        <w:rPr>
          <w:rFonts w:ascii="Times New Roman" w:hAnsi="Times New Roman" w:cs="Times New Roman"/>
          <w:sz w:val="28"/>
          <w:szCs w:val="28"/>
        </w:rPr>
        <w:t xml:space="preserve"> заболеваний (истинной полицитемии, </w:t>
      </w:r>
      <w:proofErr w:type="spellStart"/>
      <w:r w:rsidR="007E675D">
        <w:rPr>
          <w:rFonts w:ascii="Times New Roman" w:hAnsi="Times New Roman" w:cs="Times New Roman"/>
          <w:sz w:val="28"/>
          <w:szCs w:val="28"/>
        </w:rPr>
        <w:t>эссенциальная</w:t>
      </w:r>
      <w:proofErr w:type="spellEnd"/>
      <w:r w:rsidR="007E675D">
        <w:rPr>
          <w:rFonts w:ascii="Times New Roman" w:hAnsi="Times New Roman" w:cs="Times New Roman"/>
          <w:sz w:val="28"/>
          <w:szCs w:val="28"/>
        </w:rPr>
        <w:t xml:space="preserve"> тромбоцитемия, первичный </w:t>
      </w:r>
      <w:proofErr w:type="spellStart"/>
      <w:r w:rsidR="007E675D">
        <w:rPr>
          <w:rFonts w:ascii="Times New Roman" w:hAnsi="Times New Roman" w:cs="Times New Roman"/>
          <w:sz w:val="28"/>
          <w:szCs w:val="28"/>
        </w:rPr>
        <w:t>миелофиброз</w:t>
      </w:r>
      <w:proofErr w:type="spellEnd"/>
      <w:r w:rsidR="007E675D">
        <w:rPr>
          <w:rFonts w:ascii="Times New Roman" w:hAnsi="Times New Roman" w:cs="Times New Roman"/>
          <w:sz w:val="28"/>
          <w:szCs w:val="28"/>
        </w:rPr>
        <w:t>).</w:t>
      </w:r>
    </w:p>
    <w:p w:rsidR="000A6916" w:rsidRDefault="000A6916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855CA9" w:rsidRDefault="000A6916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Рецензент:</w:t>
      </w:r>
      <w:r w:rsidR="0029247D">
        <w:rPr>
          <w:rFonts w:ascii="Times New Roman" w:hAnsi="Times New Roman" w:cs="Times New Roman"/>
          <w:sz w:val="28"/>
          <w:szCs w:val="28"/>
        </w:rPr>
        <w:t xml:space="preserve"> д.м.н., </w:t>
      </w:r>
      <w:r>
        <w:rPr>
          <w:rFonts w:ascii="Times New Roman" w:hAnsi="Times New Roman" w:cs="Times New Roman"/>
          <w:sz w:val="28"/>
          <w:szCs w:val="28"/>
        </w:rPr>
        <w:t xml:space="preserve"> профессор</w:t>
      </w:r>
      <w:r w:rsidR="0029247D">
        <w:rPr>
          <w:rFonts w:ascii="Times New Roman" w:hAnsi="Times New Roman" w:cs="Times New Roman"/>
          <w:sz w:val="28"/>
          <w:szCs w:val="28"/>
        </w:rPr>
        <w:t xml:space="preserve"> кафедры терапии и клинической фармакологии ИДПО</w:t>
      </w:r>
      <w:r w:rsidR="007E675D">
        <w:rPr>
          <w:rFonts w:ascii="Times New Roman" w:hAnsi="Times New Roman" w:cs="Times New Roman"/>
          <w:sz w:val="28"/>
          <w:szCs w:val="28"/>
        </w:rPr>
        <w:t xml:space="preserve">, главный фармаколог МЗ РБ </w:t>
      </w:r>
      <w:r w:rsidR="002924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Калимуллина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Д.Х.</w:t>
      </w:r>
      <w:r w:rsidR="00AF1EDB" w:rsidRPr="00855CA9">
        <w:rPr>
          <w:rFonts w:ascii="Times New Roman" w:hAnsi="Times New Roman" w:cs="Times New Roman"/>
          <w:sz w:val="28"/>
          <w:szCs w:val="28"/>
        </w:rPr>
        <w:br w:type="page"/>
      </w:r>
    </w:p>
    <w:p w:rsidR="00AF1EDB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lastRenderedPageBreak/>
        <w:t>СПИСОК СОКРАЩЕНИЙ</w:t>
      </w:r>
    </w:p>
    <w:p w:rsidR="00B26F78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 xml:space="preserve">Алло-ТГСК – аллогенная трансплантация гемопоэтических стволовых клеток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Ауто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-ТГСК –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аутологичная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трансплантация гемопоэтических стволовых клеток БФ –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бластная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фаза</w:t>
      </w:r>
    </w:p>
    <w:p w:rsidR="00AF1EDB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 xml:space="preserve"> ИП – истинная полицитемия</w:t>
      </w:r>
    </w:p>
    <w:p w:rsidR="00B26F78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 xml:space="preserve">КТ – компьютерная томография </w:t>
      </w:r>
    </w:p>
    <w:p w:rsidR="00AF1EDB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 xml:space="preserve">ЛДГ –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лактатдегидрогеназа</w:t>
      </w:r>
      <w:proofErr w:type="spellEnd"/>
    </w:p>
    <w:p w:rsidR="00B26F78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 xml:space="preserve">МДС –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миелодиспластический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синдром</w:t>
      </w:r>
    </w:p>
    <w:p w:rsidR="00B26F78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 xml:space="preserve"> МПЗ –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миелопролиферативное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заболевание </w:t>
      </w:r>
    </w:p>
    <w:p w:rsidR="00B26F78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>МРТ – магнитно-резонансная томография</w:t>
      </w:r>
    </w:p>
    <w:p w:rsidR="00AF1EDB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 xml:space="preserve"> МФ –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миелофиброз</w:t>
      </w:r>
      <w:proofErr w:type="spellEnd"/>
      <w:r w:rsidR="00502021">
        <w:rPr>
          <w:rFonts w:ascii="Times New Roman" w:hAnsi="Times New Roman" w:cs="Times New Roman"/>
          <w:sz w:val="20"/>
          <w:szCs w:val="28"/>
        </w:rPr>
        <w:t>,</w:t>
      </w:r>
      <w:r w:rsidRPr="00502021">
        <w:rPr>
          <w:rFonts w:ascii="Times New Roman" w:hAnsi="Times New Roman" w:cs="Times New Roman"/>
          <w:sz w:val="20"/>
          <w:szCs w:val="28"/>
        </w:rPr>
        <w:t xml:space="preserve"> ОВ – общая выживаемость</w:t>
      </w:r>
    </w:p>
    <w:p w:rsidR="00B26F78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>ОМЛ – острый миелоидный лейкоз</w:t>
      </w:r>
    </w:p>
    <w:p w:rsidR="00AF1EDB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 xml:space="preserve"> ПМФ – первичный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миелофиброз</w:t>
      </w:r>
      <w:proofErr w:type="spellEnd"/>
    </w:p>
    <w:p w:rsidR="00B26F78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 xml:space="preserve">Пост-ИП МФ –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постполицитемический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миелофиброз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</w:p>
    <w:p w:rsidR="00B26F78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 xml:space="preserve">Пост-ЭТ МФ –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посттромбоцитемический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миелофиброз</w:t>
      </w:r>
      <w:proofErr w:type="spellEnd"/>
    </w:p>
    <w:p w:rsidR="00B26F78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 xml:space="preserve"> ПЦР – полимеразная цепная реакция </w:t>
      </w:r>
    </w:p>
    <w:p w:rsidR="00B26F78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>РТПХ – реакция трансплантат против хозяина</w:t>
      </w:r>
    </w:p>
    <w:p w:rsidR="00B26F78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 xml:space="preserve"> УЗИ – ультразвуковое исследование</w:t>
      </w:r>
    </w:p>
    <w:p w:rsidR="00B26F78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 xml:space="preserve"> ХМЛ – хронический миелоидный лейкоз</w:t>
      </w:r>
    </w:p>
    <w:p w:rsidR="00B26F78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 xml:space="preserve"> ЭПО –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эритропоэтин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</w:p>
    <w:p w:rsidR="00B26F78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 xml:space="preserve">ЭТ –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эссенциальная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тромбоцитемия</w:t>
      </w:r>
    </w:p>
    <w:p w:rsidR="00AF1EDB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 xml:space="preserve"> ЭЦФ –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эритроцитаферез</w:t>
      </w:r>
      <w:proofErr w:type="spellEnd"/>
    </w:p>
    <w:p w:rsidR="00FC4FBD" w:rsidRPr="00502021" w:rsidRDefault="00FC4FBD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>P32 –  радиоактивный фосфор</w:t>
      </w:r>
    </w:p>
    <w:p w:rsidR="00AF1EDB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>DIPSS (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Dynamic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International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Prognostic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Scoring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System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>) – Динамическая международная шкала оценки прогноза</w:t>
      </w:r>
    </w:p>
    <w:p w:rsidR="00AF1EDB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>ELN (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European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Leukemia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Net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>) - Европейская организация по изучению и лечению лейкозов</w:t>
      </w:r>
    </w:p>
    <w:p w:rsidR="00AF1EDB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>EORTC - Европейская организация по исследованиям в области лечения рака</w:t>
      </w:r>
    </w:p>
    <w:p w:rsidR="00AF1EDB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>G-CSF (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granulocyte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colony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stimulating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factor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) -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гранулоцитарный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колониестимулирующий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фактор</w:t>
      </w:r>
    </w:p>
    <w:p w:rsidR="00AF1EDB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>IPSET-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thrombosis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(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The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International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Prognostic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Score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for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ET) – Международный Прогностический Индекс рисков тромбоза при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эссенциальной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тромбоцитемии</w:t>
      </w:r>
    </w:p>
    <w:p w:rsidR="00AF1EDB" w:rsidRPr="00502021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</w:rPr>
        <w:t>IPSS (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International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Prognostic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Scoring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System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>) – Международная шкала оценки прогноза IWG-MRT (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The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international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working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group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for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myeloproliferative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neoplasms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research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and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treatment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) - Международная рабочая группа по изучению и лечению </w:t>
      </w:r>
      <w:proofErr w:type="spellStart"/>
      <w:r w:rsidRPr="00502021">
        <w:rPr>
          <w:rFonts w:ascii="Times New Roman" w:hAnsi="Times New Roman" w:cs="Times New Roman"/>
          <w:sz w:val="20"/>
          <w:szCs w:val="28"/>
        </w:rPr>
        <w:t>миелопролиферативных</w:t>
      </w:r>
      <w:proofErr w:type="spellEnd"/>
      <w:r w:rsidRPr="00502021">
        <w:rPr>
          <w:rFonts w:ascii="Times New Roman" w:hAnsi="Times New Roman" w:cs="Times New Roman"/>
          <w:sz w:val="20"/>
          <w:szCs w:val="28"/>
        </w:rPr>
        <w:t xml:space="preserve"> заболеваний</w:t>
      </w:r>
    </w:p>
    <w:p w:rsidR="00AF1EDB" w:rsidRPr="00C9565A" w:rsidRDefault="00AF1EDB" w:rsidP="004E0876">
      <w:pPr>
        <w:jc w:val="both"/>
        <w:rPr>
          <w:rFonts w:ascii="Times New Roman" w:hAnsi="Times New Roman" w:cs="Times New Roman"/>
          <w:sz w:val="20"/>
          <w:szCs w:val="28"/>
        </w:rPr>
      </w:pPr>
      <w:r w:rsidRPr="00502021">
        <w:rPr>
          <w:rFonts w:ascii="Times New Roman" w:hAnsi="Times New Roman" w:cs="Times New Roman"/>
          <w:sz w:val="20"/>
          <w:szCs w:val="28"/>
          <w:lang w:val="en-US"/>
        </w:rPr>
        <w:t>NSSN</w:t>
      </w:r>
      <w:r w:rsidRPr="00C9565A">
        <w:rPr>
          <w:rFonts w:ascii="Times New Roman" w:hAnsi="Times New Roman" w:cs="Times New Roman"/>
          <w:sz w:val="20"/>
          <w:szCs w:val="28"/>
        </w:rPr>
        <w:t xml:space="preserve"> (</w:t>
      </w:r>
      <w:r w:rsidRPr="00502021">
        <w:rPr>
          <w:rFonts w:ascii="Times New Roman" w:hAnsi="Times New Roman" w:cs="Times New Roman"/>
          <w:sz w:val="20"/>
          <w:szCs w:val="28"/>
          <w:lang w:val="en-US"/>
        </w:rPr>
        <w:t>National</w:t>
      </w:r>
      <w:r w:rsidRPr="00C9565A">
        <w:rPr>
          <w:rFonts w:ascii="Times New Roman" w:hAnsi="Times New Roman" w:cs="Times New Roman"/>
          <w:sz w:val="20"/>
          <w:szCs w:val="28"/>
        </w:rPr>
        <w:t xml:space="preserve"> </w:t>
      </w:r>
      <w:r w:rsidRPr="00502021">
        <w:rPr>
          <w:rFonts w:ascii="Times New Roman" w:hAnsi="Times New Roman" w:cs="Times New Roman"/>
          <w:sz w:val="20"/>
          <w:szCs w:val="28"/>
          <w:lang w:val="en-US"/>
        </w:rPr>
        <w:t>Comprehensive</w:t>
      </w:r>
      <w:r w:rsidRPr="00C9565A">
        <w:rPr>
          <w:rFonts w:ascii="Times New Roman" w:hAnsi="Times New Roman" w:cs="Times New Roman"/>
          <w:sz w:val="20"/>
          <w:szCs w:val="28"/>
        </w:rPr>
        <w:t xml:space="preserve"> </w:t>
      </w:r>
      <w:r w:rsidRPr="00502021">
        <w:rPr>
          <w:rFonts w:ascii="Times New Roman" w:hAnsi="Times New Roman" w:cs="Times New Roman"/>
          <w:sz w:val="20"/>
          <w:szCs w:val="28"/>
          <w:lang w:val="en-US"/>
        </w:rPr>
        <w:t>Cancer</w:t>
      </w:r>
      <w:r w:rsidRPr="00C9565A">
        <w:rPr>
          <w:rFonts w:ascii="Times New Roman" w:hAnsi="Times New Roman" w:cs="Times New Roman"/>
          <w:sz w:val="20"/>
          <w:szCs w:val="28"/>
        </w:rPr>
        <w:t xml:space="preserve"> </w:t>
      </w:r>
      <w:r w:rsidRPr="00502021">
        <w:rPr>
          <w:rFonts w:ascii="Times New Roman" w:hAnsi="Times New Roman" w:cs="Times New Roman"/>
          <w:sz w:val="20"/>
          <w:szCs w:val="28"/>
          <w:lang w:val="en-US"/>
        </w:rPr>
        <w:t>Network</w:t>
      </w:r>
      <w:r w:rsidRPr="00C9565A">
        <w:rPr>
          <w:rFonts w:ascii="Times New Roman" w:hAnsi="Times New Roman" w:cs="Times New Roman"/>
          <w:sz w:val="20"/>
          <w:szCs w:val="28"/>
        </w:rPr>
        <w:t>®) -</w:t>
      </w:r>
      <w:r w:rsidR="00392F3B" w:rsidRPr="00C9565A">
        <w:rPr>
          <w:rFonts w:ascii="Times New Roman" w:hAnsi="Times New Roman" w:cs="Times New Roman"/>
          <w:sz w:val="20"/>
          <w:szCs w:val="28"/>
        </w:rPr>
        <w:t xml:space="preserve"> </w:t>
      </w:r>
      <w:r w:rsidRPr="00502021">
        <w:rPr>
          <w:rFonts w:ascii="Times New Roman" w:hAnsi="Times New Roman" w:cs="Times New Roman"/>
          <w:sz w:val="20"/>
          <w:szCs w:val="28"/>
        </w:rPr>
        <w:t>Национальная</w:t>
      </w:r>
      <w:r w:rsidRPr="00C9565A">
        <w:rPr>
          <w:rFonts w:ascii="Times New Roman" w:hAnsi="Times New Roman" w:cs="Times New Roman"/>
          <w:sz w:val="20"/>
          <w:szCs w:val="28"/>
        </w:rPr>
        <w:t xml:space="preserve"> </w:t>
      </w:r>
      <w:r w:rsidRPr="00502021">
        <w:rPr>
          <w:rFonts w:ascii="Times New Roman" w:hAnsi="Times New Roman" w:cs="Times New Roman"/>
          <w:sz w:val="20"/>
          <w:szCs w:val="28"/>
        </w:rPr>
        <w:t>Онкологическая</w:t>
      </w:r>
      <w:r w:rsidRPr="00C9565A">
        <w:rPr>
          <w:rFonts w:ascii="Times New Roman" w:hAnsi="Times New Roman" w:cs="Times New Roman"/>
          <w:sz w:val="20"/>
          <w:szCs w:val="28"/>
        </w:rPr>
        <w:t xml:space="preserve"> </w:t>
      </w:r>
      <w:r w:rsidRPr="00502021">
        <w:rPr>
          <w:rFonts w:ascii="Times New Roman" w:hAnsi="Times New Roman" w:cs="Times New Roman"/>
          <w:sz w:val="20"/>
          <w:szCs w:val="28"/>
        </w:rPr>
        <w:t>Сеть</w:t>
      </w:r>
      <w:r w:rsidR="00B26F78" w:rsidRPr="00C9565A">
        <w:rPr>
          <w:rFonts w:ascii="Times New Roman" w:hAnsi="Times New Roman" w:cs="Times New Roman"/>
          <w:sz w:val="20"/>
          <w:szCs w:val="28"/>
        </w:rPr>
        <w:t xml:space="preserve"> </w:t>
      </w:r>
      <w:r w:rsidRPr="00502021">
        <w:rPr>
          <w:rFonts w:ascii="Times New Roman" w:hAnsi="Times New Roman" w:cs="Times New Roman"/>
          <w:sz w:val="20"/>
          <w:szCs w:val="28"/>
        </w:rPr>
        <w:t>США</w:t>
      </w:r>
      <w:r w:rsidRPr="00C9565A">
        <w:rPr>
          <w:rFonts w:ascii="Times New Roman" w:hAnsi="Times New Roman" w:cs="Times New Roman"/>
          <w:sz w:val="20"/>
          <w:szCs w:val="28"/>
        </w:rPr>
        <w:br w:type="page"/>
      </w:r>
    </w:p>
    <w:p w:rsidR="00AF1EDB" w:rsidRPr="00C9565A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  <w:r w:rsidRPr="00C9565A">
        <w:rPr>
          <w:rFonts w:ascii="Times New Roman" w:hAnsi="Times New Roman" w:cs="Times New Roman"/>
          <w:sz w:val="28"/>
          <w:szCs w:val="28"/>
        </w:rPr>
        <w:t>: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Введение</w:t>
      </w:r>
      <w:r w:rsidR="00CC6B06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="00A323C7">
        <w:rPr>
          <w:rFonts w:ascii="Times New Roman" w:hAnsi="Times New Roman" w:cs="Times New Roman"/>
          <w:sz w:val="28"/>
          <w:szCs w:val="28"/>
        </w:rPr>
        <w:t>………….</w:t>
      </w:r>
      <w:r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="00E92F3F">
        <w:rPr>
          <w:rFonts w:ascii="Times New Roman" w:hAnsi="Times New Roman" w:cs="Times New Roman"/>
          <w:sz w:val="28"/>
          <w:szCs w:val="28"/>
        </w:rPr>
        <w:t>5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Этиология и па</w:t>
      </w:r>
      <w:r w:rsidR="00A211D7">
        <w:rPr>
          <w:rFonts w:ascii="Times New Roman" w:hAnsi="Times New Roman" w:cs="Times New Roman"/>
          <w:sz w:val="28"/>
          <w:szCs w:val="28"/>
        </w:rPr>
        <w:t>тогенез</w:t>
      </w:r>
      <w:r w:rsidR="002D0828">
        <w:rPr>
          <w:rFonts w:ascii="Times New Roman" w:hAnsi="Times New Roman" w:cs="Times New Roman"/>
          <w:sz w:val="28"/>
          <w:szCs w:val="28"/>
        </w:rPr>
        <w:t xml:space="preserve"> </w:t>
      </w:r>
      <w:r w:rsidR="00A211D7">
        <w:rPr>
          <w:rFonts w:ascii="Times New Roman" w:hAnsi="Times New Roman" w:cs="Times New Roman"/>
          <w:sz w:val="28"/>
          <w:szCs w:val="28"/>
        </w:rPr>
        <w:t>истинной полицитемии</w:t>
      </w:r>
      <w:r w:rsidR="00E92F3F">
        <w:rPr>
          <w:rFonts w:ascii="Times New Roman" w:hAnsi="Times New Roman" w:cs="Times New Roman"/>
          <w:sz w:val="28"/>
          <w:szCs w:val="28"/>
        </w:rPr>
        <w:t>……………………………..5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План обследов</w:t>
      </w:r>
      <w:r w:rsidR="00E023B8" w:rsidRPr="00855CA9">
        <w:rPr>
          <w:rFonts w:ascii="Times New Roman" w:hAnsi="Times New Roman" w:cs="Times New Roman"/>
          <w:sz w:val="28"/>
          <w:szCs w:val="28"/>
        </w:rPr>
        <w:t>ания больных при диагностике ИП</w:t>
      </w:r>
      <w:r w:rsidR="00E92F3F">
        <w:rPr>
          <w:rFonts w:ascii="Times New Roman" w:hAnsi="Times New Roman" w:cs="Times New Roman"/>
          <w:sz w:val="28"/>
          <w:szCs w:val="28"/>
        </w:rPr>
        <w:t>……………………..…..7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Диагностические</w:t>
      </w:r>
      <w:r w:rsidR="00E023B8" w:rsidRPr="00855CA9">
        <w:rPr>
          <w:rFonts w:ascii="Times New Roman" w:hAnsi="Times New Roman" w:cs="Times New Roman"/>
          <w:sz w:val="28"/>
          <w:szCs w:val="28"/>
        </w:rPr>
        <w:t xml:space="preserve"> критерии ИП</w:t>
      </w:r>
      <w:r w:rsidR="00E92F3F">
        <w:rPr>
          <w:rFonts w:ascii="Times New Roman" w:hAnsi="Times New Roman" w:cs="Times New Roman"/>
          <w:sz w:val="28"/>
          <w:szCs w:val="28"/>
        </w:rPr>
        <w:t>………………………………………………..9</w:t>
      </w:r>
    </w:p>
    <w:p w:rsidR="00AF1EDB" w:rsidRPr="00855CA9" w:rsidRDefault="00E023B8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Прогноз ИП</w:t>
      </w:r>
      <w:r w:rsidR="00E92F3F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…………………………………………………………………….11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Стратификация риска тромбоге</w:t>
      </w:r>
      <w:r w:rsidR="00E023B8" w:rsidRPr="00855CA9">
        <w:rPr>
          <w:rFonts w:ascii="Times New Roman" w:hAnsi="Times New Roman" w:cs="Times New Roman"/>
          <w:sz w:val="28"/>
          <w:szCs w:val="28"/>
        </w:rPr>
        <w:t>моррагических осложнений при ИП</w:t>
      </w:r>
      <w:r w:rsidR="00E92F3F">
        <w:rPr>
          <w:rFonts w:ascii="Times New Roman" w:hAnsi="Times New Roman" w:cs="Times New Roman"/>
          <w:sz w:val="28"/>
          <w:szCs w:val="28"/>
        </w:rPr>
        <w:t>…….11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Опр</w:t>
      </w:r>
      <w:r w:rsidR="00E023B8" w:rsidRPr="00855CA9">
        <w:rPr>
          <w:rFonts w:ascii="Times New Roman" w:hAnsi="Times New Roman" w:cs="Times New Roman"/>
          <w:sz w:val="28"/>
          <w:szCs w:val="28"/>
        </w:rPr>
        <w:t>еделение тактики терапии при ИП</w:t>
      </w:r>
      <w:r w:rsidR="00E92F3F">
        <w:rPr>
          <w:rFonts w:ascii="Times New Roman" w:hAnsi="Times New Roman" w:cs="Times New Roman"/>
          <w:sz w:val="28"/>
          <w:szCs w:val="28"/>
        </w:rPr>
        <w:t>……………………………………….12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Суммированные рекомендации по ле</w:t>
      </w:r>
      <w:r w:rsidR="00E023B8" w:rsidRPr="00855CA9">
        <w:rPr>
          <w:rFonts w:ascii="Times New Roman" w:hAnsi="Times New Roman" w:cs="Times New Roman"/>
          <w:sz w:val="28"/>
          <w:szCs w:val="28"/>
        </w:rPr>
        <w:t>чению ИП</w:t>
      </w:r>
      <w:r w:rsidR="00E92F3F">
        <w:rPr>
          <w:rFonts w:ascii="Times New Roman" w:hAnsi="Times New Roman" w:cs="Times New Roman"/>
          <w:sz w:val="28"/>
          <w:szCs w:val="28"/>
        </w:rPr>
        <w:t>…………………………….12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5CA9">
        <w:rPr>
          <w:rFonts w:ascii="Times New Roman" w:hAnsi="Times New Roman" w:cs="Times New Roman"/>
          <w:sz w:val="28"/>
          <w:szCs w:val="28"/>
        </w:rPr>
        <w:t>Риск-адаптированная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тера</w:t>
      </w:r>
      <w:r w:rsidR="00E023B8" w:rsidRPr="00855CA9">
        <w:rPr>
          <w:rFonts w:ascii="Times New Roman" w:hAnsi="Times New Roman" w:cs="Times New Roman"/>
          <w:sz w:val="28"/>
          <w:szCs w:val="28"/>
        </w:rPr>
        <w:t>пия с учетом возраста пациентов</w:t>
      </w:r>
      <w:r w:rsidR="00E92F3F">
        <w:rPr>
          <w:rFonts w:ascii="Times New Roman" w:hAnsi="Times New Roman" w:cs="Times New Roman"/>
          <w:sz w:val="28"/>
          <w:szCs w:val="28"/>
        </w:rPr>
        <w:t>……………….14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Критерии к</w:t>
      </w:r>
      <w:r w:rsidR="00E023B8" w:rsidRPr="00855CA9">
        <w:rPr>
          <w:rFonts w:ascii="Times New Roman" w:hAnsi="Times New Roman" w:cs="Times New Roman"/>
          <w:sz w:val="28"/>
          <w:szCs w:val="28"/>
        </w:rPr>
        <w:t>линико-гематологического ответа</w:t>
      </w:r>
      <w:r w:rsidR="00E92F3F">
        <w:rPr>
          <w:rFonts w:ascii="Times New Roman" w:hAnsi="Times New Roman" w:cs="Times New Roman"/>
          <w:sz w:val="28"/>
          <w:szCs w:val="28"/>
        </w:rPr>
        <w:t>……………………………….18</w:t>
      </w:r>
    </w:p>
    <w:p w:rsidR="00AF1EDB" w:rsidRPr="00855CA9" w:rsidRDefault="009A18A1" w:rsidP="009A1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Трансформация </w:t>
      </w:r>
      <w:r w:rsidR="003A6846">
        <w:rPr>
          <w:rFonts w:ascii="Times New Roman" w:hAnsi="Times New Roman" w:cs="Times New Roman"/>
          <w:sz w:val="28"/>
          <w:szCs w:val="28"/>
        </w:rPr>
        <w:t>истинной</w:t>
      </w:r>
      <w:r>
        <w:rPr>
          <w:rFonts w:ascii="Times New Roman" w:hAnsi="Times New Roman" w:cs="Times New Roman"/>
          <w:sz w:val="28"/>
          <w:szCs w:val="28"/>
        </w:rPr>
        <w:t xml:space="preserve">  полицитемии  в</w:t>
      </w:r>
      <w:r w:rsidR="003A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миелофиброз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…………………</w:t>
      </w:r>
      <w:r w:rsidR="00E92F3F">
        <w:rPr>
          <w:rFonts w:ascii="Times New Roman" w:hAnsi="Times New Roman" w:cs="Times New Roman"/>
          <w:sz w:val="28"/>
          <w:szCs w:val="28"/>
        </w:rPr>
        <w:t>...20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Лечебные подходы п</w:t>
      </w:r>
      <w:r w:rsidR="00E023B8" w:rsidRPr="00855CA9">
        <w:rPr>
          <w:rFonts w:ascii="Times New Roman" w:hAnsi="Times New Roman" w:cs="Times New Roman"/>
          <w:sz w:val="28"/>
          <w:szCs w:val="28"/>
        </w:rPr>
        <w:t>ри хирургических вмешательствах</w:t>
      </w:r>
      <w:r w:rsidR="00E92F3F">
        <w:rPr>
          <w:rFonts w:ascii="Times New Roman" w:hAnsi="Times New Roman" w:cs="Times New Roman"/>
          <w:sz w:val="28"/>
          <w:szCs w:val="28"/>
        </w:rPr>
        <w:t>…………………..20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Миелопролиферативные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заболевания и беременнос</w:t>
      </w:r>
      <w:r w:rsidR="00E023B8" w:rsidRPr="00855CA9">
        <w:rPr>
          <w:rFonts w:ascii="Times New Roman" w:hAnsi="Times New Roman" w:cs="Times New Roman"/>
          <w:sz w:val="28"/>
          <w:szCs w:val="28"/>
        </w:rPr>
        <w:t>ть</w:t>
      </w:r>
      <w:r w:rsidR="00E92F3F">
        <w:rPr>
          <w:rFonts w:ascii="Times New Roman" w:hAnsi="Times New Roman" w:cs="Times New Roman"/>
          <w:sz w:val="28"/>
          <w:szCs w:val="28"/>
        </w:rPr>
        <w:t>……………………..21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CC6B06">
        <w:rPr>
          <w:rFonts w:ascii="Times New Roman" w:hAnsi="Times New Roman" w:cs="Times New Roman"/>
          <w:sz w:val="28"/>
          <w:szCs w:val="28"/>
        </w:rPr>
        <w:t>……………………………………</w:t>
      </w:r>
      <w:r w:rsidR="00E92F3F">
        <w:rPr>
          <w:rFonts w:ascii="Times New Roman" w:hAnsi="Times New Roman" w:cs="Times New Roman"/>
          <w:sz w:val="28"/>
          <w:szCs w:val="28"/>
        </w:rPr>
        <w:t>………………………………..25</w:t>
      </w:r>
    </w:p>
    <w:p w:rsidR="00AF1EDB" w:rsidRPr="00855CA9" w:rsidRDefault="00780CA4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Литература</w:t>
      </w:r>
      <w:r w:rsidR="00E92F3F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………………………………………………………………………27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6846" w:rsidRDefault="003A6846" w:rsidP="004E08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6846" w:rsidRDefault="003A6846" w:rsidP="004E08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78C0" w:rsidRDefault="009678C0" w:rsidP="004E08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1EDB" w:rsidRPr="00855CA9" w:rsidRDefault="00AF1EDB" w:rsidP="004E0876">
      <w:pPr>
        <w:jc w:val="center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lastRenderedPageBreak/>
        <w:t>ВВЕДЕНИЕ.</w:t>
      </w:r>
    </w:p>
    <w:p w:rsidR="00AF1EDB" w:rsidRPr="00855CA9" w:rsidRDefault="001D073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Истинная полицитемия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миелопролиферативным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заболеванием (МПЗ).  МПЗ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представляют собой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клональные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заболевания, возникающие на уровне стволовой кроветворной клетки. МПЗ характеризуются пролиферацией одной или более клеточной линии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миелопоэза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в костном мозге с признаками сохранной терминальной дифференцировки, и сопровождаются изменением показателей периферической крови. В соответствии с классификацией ВОЗ 2008г к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миелопролиферативным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заболеваниям относят восемь нозологических форм [1]. </w:t>
      </w:r>
      <w:proofErr w:type="gramStart"/>
      <w:r w:rsidR="00AF1EDB" w:rsidRPr="00855CA9">
        <w:rPr>
          <w:rFonts w:ascii="Times New Roman" w:hAnsi="Times New Roman" w:cs="Times New Roman"/>
          <w:sz w:val="28"/>
          <w:szCs w:val="28"/>
        </w:rPr>
        <w:t>Внутри этой группы болезней выделяют хронический миелоидный лейкоз (ХМЛ), при котором присутствует патогномоничный специфический маркер - филадельфийская хромосома (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) и заболевания, не ассоциированные с филадельфийской хромосомой, четыре нозологических формы из которых (истинная полицитемия (ИП), первичный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миелофиброз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(ПМФ),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эссенциальная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тромбоцитемия (ЭТ) и хроническое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миелопролиферативное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заболевание,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неклассифицируемое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) охватывают более 98% больных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>-негативными МПЗ [2, 3].</w:t>
      </w:r>
      <w:proofErr w:type="gramEnd"/>
    </w:p>
    <w:p w:rsidR="00AF1EDB" w:rsidRPr="00855CA9" w:rsidRDefault="00850FF6" w:rsidP="002D082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1EDB" w:rsidRPr="00855CA9">
        <w:rPr>
          <w:rFonts w:ascii="Times New Roman" w:hAnsi="Times New Roman" w:cs="Times New Roman"/>
          <w:sz w:val="28"/>
          <w:szCs w:val="28"/>
        </w:rPr>
        <w:t>ЭТИОЛОГИЯ И ПАТОГ</w:t>
      </w:r>
      <w:r w:rsidR="00981EA6">
        <w:rPr>
          <w:rFonts w:ascii="Times New Roman" w:hAnsi="Times New Roman" w:cs="Times New Roman"/>
          <w:sz w:val="28"/>
          <w:szCs w:val="28"/>
        </w:rPr>
        <w:t>ЕНЕЗ</w:t>
      </w:r>
      <w:r w:rsidR="002D0828">
        <w:rPr>
          <w:rFonts w:ascii="Times New Roman" w:hAnsi="Times New Roman" w:cs="Times New Roman"/>
          <w:sz w:val="28"/>
          <w:szCs w:val="28"/>
        </w:rPr>
        <w:t xml:space="preserve">  </w:t>
      </w:r>
      <w:r w:rsidR="00981EA6">
        <w:rPr>
          <w:rFonts w:ascii="Times New Roman" w:hAnsi="Times New Roman" w:cs="Times New Roman"/>
          <w:sz w:val="28"/>
          <w:szCs w:val="28"/>
        </w:rPr>
        <w:t xml:space="preserve"> ИСТИННОЙ ПОЛИЦИТЕМИИ</w:t>
      </w:r>
      <w:r w:rsidR="00AF1EDB" w:rsidRPr="00855CA9">
        <w:rPr>
          <w:rFonts w:ascii="Times New Roman" w:hAnsi="Times New Roman" w:cs="Times New Roman"/>
          <w:sz w:val="28"/>
          <w:szCs w:val="28"/>
        </w:rPr>
        <w:t>.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Несмотря на то, что в последние годы достигнуты значительные успехи в расшифровке молекулярно-генетических механизмов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-негативн</w:t>
      </w:r>
      <w:r w:rsidR="00392F3B" w:rsidRPr="00855CA9">
        <w:rPr>
          <w:rFonts w:ascii="Times New Roman" w:hAnsi="Times New Roman" w:cs="Times New Roman"/>
          <w:sz w:val="28"/>
          <w:szCs w:val="28"/>
        </w:rPr>
        <w:t>ых МПЗ</w:t>
      </w:r>
      <w:r w:rsidR="00981EA6">
        <w:rPr>
          <w:rFonts w:ascii="Times New Roman" w:hAnsi="Times New Roman" w:cs="Times New Roman"/>
          <w:sz w:val="28"/>
          <w:szCs w:val="28"/>
        </w:rPr>
        <w:t>, в частности ИП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, первоначальная мутация, </w:t>
      </w:r>
      <w:r w:rsidRPr="00855CA9">
        <w:rPr>
          <w:rFonts w:ascii="Times New Roman" w:hAnsi="Times New Roman" w:cs="Times New Roman"/>
          <w:sz w:val="28"/>
          <w:szCs w:val="28"/>
        </w:rPr>
        <w:t xml:space="preserve">приводящая к малигнизации гемопоэтической клетки при </w:t>
      </w:r>
      <w:r w:rsidR="00981EA6">
        <w:rPr>
          <w:rFonts w:ascii="Times New Roman" w:hAnsi="Times New Roman" w:cs="Times New Roman"/>
          <w:sz w:val="28"/>
          <w:szCs w:val="28"/>
        </w:rPr>
        <w:t>ИП</w:t>
      </w:r>
      <w:r w:rsidRPr="00855CA9">
        <w:rPr>
          <w:rFonts w:ascii="Times New Roman" w:hAnsi="Times New Roman" w:cs="Times New Roman"/>
          <w:sz w:val="28"/>
          <w:szCs w:val="28"/>
        </w:rPr>
        <w:t xml:space="preserve"> неизвестна, хотя приблизительно от че</w:t>
      </w:r>
      <w:r w:rsidR="00DE34FB">
        <w:rPr>
          <w:rFonts w:ascii="Times New Roman" w:hAnsi="Times New Roman" w:cs="Times New Roman"/>
          <w:sz w:val="28"/>
          <w:szCs w:val="28"/>
        </w:rPr>
        <w:t>тверти до половины больных этим</w:t>
      </w:r>
      <w:r w:rsidRPr="00855CA9">
        <w:rPr>
          <w:rFonts w:ascii="Times New Roman" w:hAnsi="Times New Roman" w:cs="Times New Roman"/>
          <w:sz w:val="28"/>
          <w:szCs w:val="28"/>
        </w:rPr>
        <w:t xml:space="preserve"> заболеваниями имеют точечную мут</w:t>
      </w:r>
      <w:r w:rsidR="009678C0">
        <w:rPr>
          <w:rFonts w:ascii="Times New Roman" w:hAnsi="Times New Roman" w:cs="Times New Roman"/>
          <w:sz w:val="28"/>
          <w:szCs w:val="28"/>
        </w:rPr>
        <w:t>ацию в гене JAK2 [4, 5, 6</w:t>
      </w:r>
      <w:r w:rsidRPr="00855CA9">
        <w:rPr>
          <w:rFonts w:ascii="Times New Roman" w:hAnsi="Times New Roman" w:cs="Times New Roman"/>
          <w:sz w:val="28"/>
          <w:szCs w:val="28"/>
        </w:rPr>
        <w:t>].</w:t>
      </w:r>
    </w:p>
    <w:p w:rsidR="002F5CCF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Открытие мутации V617F в гене JAK2 в 2005г явилось значительным шагом в понимании биологических и клинических особенностей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-негативных МПЗ. Практически у всех пациентов с ИП выявляется мутация JAK2: в 96% случаев м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утация JAK2V617F (14 </w:t>
      </w:r>
      <w:proofErr w:type="spellStart"/>
      <w:r w:rsidR="00392F3B" w:rsidRPr="00855CA9">
        <w:rPr>
          <w:rFonts w:ascii="Times New Roman" w:hAnsi="Times New Roman" w:cs="Times New Roman"/>
          <w:sz w:val="28"/>
          <w:szCs w:val="28"/>
        </w:rPr>
        <w:t>экзон</w:t>
      </w:r>
      <w:proofErr w:type="spellEnd"/>
      <w:r w:rsidR="00392F3B" w:rsidRPr="00855CA9">
        <w:rPr>
          <w:rFonts w:ascii="Times New Roman" w:hAnsi="Times New Roman" w:cs="Times New Roman"/>
          <w:sz w:val="28"/>
          <w:szCs w:val="28"/>
        </w:rPr>
        <w:t xml:space="preserve">) и в </w:t>
      </w:r>
      <w:r w:rsidRPr="00855CA9">
        <w:rPr>
          <w:rFonts w:ascii="Times New Roman" w:hAnsi="Times New Roman" w:cs="Times New Roman"/>
          <w:sz w:val="28"/>
          <w:szCs w:val="28"/>
        </w:rPr>
        <w:t xml:space="preserve">2% наблюдений </w:t>
      </w:r>
      <w:r w:rsidR="009678C0">
        <w:rPr>
          <w:rFonts w:ascii="Times New Roman" w:hAnsi="Times New Roman" w:cs="Times New Roman"/>
          <w:sz w:val="28"/>
          <w:szCs w:val="28"/>
        </w:rPr>
        <w:t xml:space="preserve">мутация в </w:t>
      </w:r>
      <w:proofErr w:type="spellStart"/>
      <w:r w:rsidR="009678C0">
        <w:rPr>
          <w:rFonts w:ascii="Times New Roman" w:hAnsi="Times New Roman" w:cs="Times New Roman"/>
          <w:sz w:val="28"/>
          <w:szCs w:val="28"/>
        </w:rPr>
        <w:t>экзоне</w:t>
      </w:r>
      <w:proofErr w:type="spellEnd"/>
      <w:r w:rsidR="009678C0">
        <w:rPr>
          <w:rFonts w:ascii="Times New Roman" w:hAnsi="Times New Roman" w:cs="Times New Roman"/>
          <w:sz w:val="28"/>
          <w:szCs w:val="28"/>
        </w:rPr>
        <w:t xml:space="preserve"> 12 гена JAK2 [7, 8</w:t>
      </w:r>
      <w:r w:rsidRPr="00855CA9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AF1EDB" w:rsidRPr="00855CA9" w:rsidRDefault="002F5CCF" w:rsidP="003A68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73FE3">
        <w:rPr>
          <w:rFonts w:ascii="Times New Roman" w:hAnsi="Times New Roman" w:cs="Times New Roman"/>
          <w:sz w:val="28"/>
          <w:szCs w:val="28"/>
        </w:rPr>
        <w:t xml:space="preserve"> Помимо мутации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3FE3" w:rsidRPr="00855CA9">
        <w:rPr>
          <w:rFonts w:ascii="Times New Roman" w:hAnsi="Times New Roman" w:cs="Times New Roman"/>
          <w:sz w:val="28"/>
          <w:szCs w:val="28"/>
        </w:rPr>
        <w:t>JAK2</w:t>
      </w:r>
      <w:r w:rsidR="00D73FE3">
        <w:rPr>
          <w:rFonts w:ascii="Times New Roman" w:hAnsi="Times New Roman" w:cs="Times New Roman"/>
          <w:sz w:val="28"/>
          <w:szCs w:val="28"/>
        </w:rPr>
        <w:t xml:space="preserve"> у больных с ИП редко встречаются мутации гена </w:t>
      </w:r>
      <w:r w:rsidR="00D73FE3" w:rsidRPr="00855CA9">
        <w:rPr>
          <w:rFonts w:ascii="Times New Roman" w:hAnsi="Times New Roman" w:cs="Times New Roman"/>
          <w:sz w:val="28"/>
          <w:szCs w:val="28"/>
        </w:rPr>
        <w:t>MPL</w:t>
      </w:r>
      <w:r w:rsidR="00D73FE3">
        <w:rPr>
          <w:rFonts w:ascii="Times New Roman" w:hAnsi="Times New Roman" w:cs="Times New Roman"/>
          <w:sz w:val="28"/>
          <w:szCs w:val="28"/>
        </w:rPr>
        <w:t>.</w:t>
      </w:r>
      <w:r w:rsidR="00BA0614">
        <w:rPr>
          <w:rFonts w:ascii="Times New Roman" w:hAnsi="Times New Roman" w:cs="Times New Roman"/>
          <w:sz w:val="28"/>
          <w:szCs w:val="28"/>
        </w:rPr>
        <w:t xml:space="preserve"> </w:t>
      </w:r>
      <w:r w:rsidR="00AF1EDB" w:rsidRPr="00855CA9">
        <w:rPr>
          <w:rFonts w:ascii="Times New Roman" w:hAnsi="Times New Roman" w:cs="Times New Roman"/>
          <w:sz w:val="28"/>
          <w:szCs w:val="28"/>
        </w:rPr>
        <w:t>Мутации в генах</w:t>
      </w:r>
      <w:r w:rsidR="00D73FE3" w:rsidRPr="00D73FE3">
        <w:rPr>
          <w:rFonts w:ascii="Times New Roman" w:hAnsi="Times New Roman" w:cs="Times New Roman"/>
          <w:sz w:val="28"/>
          <w:szCs w:val="28"/>
        </w:rPr>
        <w:t xml:space="preserve"> </w:t>
      </w:r>
      <w:r w:rsidR="00D73FE3" w:rsidRPr="00855CA9">
        <w:rPr>
          <w:rFonts w:ascii="Times New Roman" w:hAnsi="Times New Roman" w:cs="Times New Roman"/>
          <w:sz w:val="28"/>
          <w:szCs w:val="28"/>
        </w:rPr>
        <w:t>JAK2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и MPL имеют важное диагностическое значение. Их выявление свидетельствует о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клональном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характере заболевания и помогает в дифферен</w:t>
      </w:r>
      <w:r>
        <w:rPr>
          <w:rFonts w:ascii="Times New Roman" w:hAnsi="Times New Roman" w:cs="Times New Roman"/>
          <w:sz w:val="28"/>
          <w:szCs w:val="28"/>
        </w:rPr>
        <w:t>циальной диагностике ИП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от ряда других миелоидных неоплазий, а также вторичных эритроцитозов и тромбоцитозов. </w:t>
      </w:r>
    </w:p>
    <w:p w:rsidR="003A6846" w:rsidRDefault="009149B8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ИП 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выявляются и другие мутации: TE</w:t>
      </w:r>
      <w:r w:rsidR="009678C0">
        <w:rPr>
          <w:rFonts w:ascii="Times New Roman" w:hAnsi="Times New Roman" w:cs="Times New Roman"/>
          <w:sz w:val="28"/>
          <w:szCs w:val="28"/>
        </w:rPr>
        <w:t>T2, IDH, ASXL1, DNMT3A и др. [9, 10, 11, 12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]. Ни одна из них не специфична для </w:t>
      </w:r>
      <w:r w:rsidR="005100CD">
        <w:rPr>
          <w:rFonts w:ascii="Times New Roman" w:hAnsi="Times New Roman" w:cs="Times New Roman"/>
          <w:sz w:val="28"/>
          <w:szCs w:val="28"/>
        </w:rPr>
        <w:t>ИП</w:t>
      </w:r>
      <w:r w:rsidR="00AF1EDB" w:rsidRPr="00855CA9">
        <w:rPr>
          <w:rFonts w:ascii="Times New Roman" w:hAnsi="Times New Roman" w:cs="Times New Roman"/>
          <w:sz w:val="28"/>
          <w:szCs w:val="28"/>
        </w:rPr>
        <w:t>, а их патогенетическая значимость</w:t>
      </w:r>
      <w:r w:rsidR="007671AE">
        <w:rPr>
          <w:rFonts w:ascii="Times New Roman" w:hAnsi="Times New Roman" w:cs="Times New Roman"/>
          <w:sz w:val="28"/>
          <w:szCs w:val="28"/>
        </w:rPr>
        <w:t xml:space="preserve"> исследуется.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Таким образом,  генетические перестройки игр</w:t>
      </w:r>
      <w:r w:rsidR="007671AE">
        <w:rPr>
          <w:rFonts w:ascii="Times New Roman" w:hAnsi="Times New Roman" w:cs="Times New Roman"/>
          <w:sz w:val="28"/>
          <w:szCs w:val="28"/>
        </w:rPr>
        <w:t>ают важную роль в патогенезе ИП</w:t>
      </w:r>
      <w:r w:rsidRPr="00855CA9">
        <w:rPr>
          <w:rFonts w:ascii="Times New Roman" w:hAnsi="Times New Roman" w:cs="Times New Roman"/>
          <w:sz w:val="28"/>
          <w:szCs w:val="28"/>
        </w:rPr>
        <w:t>.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 xml:space="preserve">Диагноз </w:t>
      </w:r>
      <w:r w:rsidR="007671AE">
        <w:rPr>
          <w:rFonts w:ascii="Times New Roman" w:hAnsi="Times New Roman" w:cs="Times New Roman"/>
          <w:sz w:val="28"/>
          <w:szCs w:val="28"/>
        </w:rPr>
        <w:t>ИП</w:t>
      </w:r>
      <w:r w:rsidRPr="00855CA9">
        <w:rPr>
          <w:rFonts w:ascii="Times New Roman" w:hAnsi="Times New Roman" w:cs="Times New Roman"/>
          <w:sz w:val="28"/>
          <w:szCs w:val="28"/>
        </w:rPr>
        <w:t>, особенно при отсутствии мутаций JAK2, MPL, устанавливается после исключения других заболеваний, в первую очередь ХМЛ.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Молекулярно-генети</w:t>
      </w:r>
      <w:r w:rsidR="007671AE">
        <w:rPr>
          <w:rFonts w:ascii="Times New Roman" w:hAnsi="Times New Roman" w:cs="Times New Roman"/>
          <w:sz w:val="28"/>
          <w:szCs w:val="28"/>
        </w:rPr>
        <w:t>ческие нарушения при ИП</w:t>
      </w:r>
      <w:r w:rsidRPr="00855CA9">
        <w:rPr>
          <w:rFonts w:ascii="Times New Roman" w:hAnsi="Times New Roman" w:cs="Times New Roman"/>
          <w:sz w:val="28"/>
          <w:szCs w:val="28"/>
        </w:rPr>
        <w:t xml:space="preserve"> приводят к активации JAK-STAT сигнального пути, проявляющейся пр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олиферацией миелоидного ростка. </w:t>
      </w:r>
      <w:r w:rsidRPr="00855CA9">
        <w:rPr>
          <w:rFonts w:ascii="Times New Roman" w:hAnsi="Times New Roman" w:cs="Times New Roman"/>
          <w:sz w:val="28"/>
          <w:szCs w:val="28"/>
        </w:rPr>
        <w:t>Результатом этого является повышение пролиферации и увеличение количества эритроцитов, лейкоцитов и тромбоцитов перифе</w:t>
      </w:r>
      <w:r w:rsidR="009149B8">
        <w:rPr>
          <w:rFonts w:ascii="Times New Roman" w:hAnsi="Times New Roman" w:cs="Times New Roman"/>
          <w:sz w:val="28"/>
          <w:szCs w:val="28"/>
        </w:rPr>
        <w:t>рической крови при ИП.</w:t>
      </w:r>
    </w:p>
    <w:p w:rsidR="00AF1EDB" w:rsidRPr="00855CA9" w:rsidRDefault="00981EA6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Патогенез</w:t>
      </w:r>
      <w:r w:rsidR="007671AE">
        <w:rPr>
          <w:rFonts w:ascii="Times New Roman" w:hAnsi="Times New Roman" w:cs="Times New Roman"/>
          <w:sz w:val="28"/>
          <w:szCs w:val="28"/>
        </w:rPr>
        <w:t xml:space="preserve"> ИП</w:t>
      </w:r>
      <w:r>
        <w:rPr>
          <w:rFonts w:ascii="Times New Roman" w:hAnsi="Times New Roman" w:cs="Times New Roman"/>
          <w:sz w:val="28"/>
          <w:szCs w:val="28"/>
        </w:rPr>
        <w:t>,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 сложен и состоит из цепи событий, первичным из которых является появление патологического клона. Известно, что лейкемические моноциты и мегакариоциты активно продуцируют множество цитокинов (TGF-ß, FGF, VEGF, ANG1, OPG, BMP4), избыток которых стимулирует фиброз, неоангиоге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нез и приводит к остеосклерозу. 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Наряду с этим нарушается связь стволовых клеток с микроокружением, что способствует появлению экстрамедуллярных очагов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гемопоэза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>, прежде всего в селезенке и печени.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="00AF1EDB" w:rsidRPr="00855CA9">
        <w:rPr>
          <w:rFonts w:ascii="Times New Roman" w:hAnsi="Times New Roman" w:cs="Times New Roman"/>
          <w:sz w:val="28"/>
          <w:szCs w:val="28"/>
        </w:rPr>
        <w:t>Массивный выброс цитокинов - одна из причин возникновения симптомов опухолевой интоксикации, что приводит к значительному ухудшению качества жи</w:t>
      </w:r>
      <w:r w:rsidR="009F1B27">
        <w:rPr>
          <w:rFonts w:ascii="Times New Roman" w:hAnsi="Times New Roman" w:cs="Times New Roman"/>
          <w:sz w:val="28"/>
          <w:szCs w:val="28"/>
        </w:rPr>
        <w:t xml:space="preserve">зни пациентов с </w:t>
      </w:r>
      <w:proofErr w:type="spellStart"/>
      <w:r w:rsidR="009F1B27">
        <w:rPr>
          <w:rFonts w:ascii="Times New Roman" w:hAnsi="Times New Roman" w:cs="Times New Roman"/>
          <w:sz w:val="28"/>
          <w:szCs w:val="28"/>
        </w:rPr>
        <w:t>миелофиброзом</w:t>
      </w:r>
      <w:proofErr w:type="spellEnd"/>
      <w:r w:rsidR="009F1B27">
        <w:rPr>
          <w:rFonts w:ascii="Times New Roman" w:hAnsi="Times New Roman" w:cs="Times New Roman"/>
          <w:sz w:val="28"/>
          <w:szCs w:val="28"/>
        </w:rPr>
        <w:t xml:space="preserve"> [1</w:t>
      </w:r>
      <w:r w:rsidR="00AF1EDB" w:rsidRPr="00855CA9">
        <w:rPr>
          <w:rFonts w:ascii="Times New Roman" w:hAnsi="Times New Roman" w:cs="Times New Roman"/>
          <w:sz w:val="28"/>
          <w:szCs w:val="28"/>
        </w:rPr>
        <w:t>3].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Клиническое течение заболевания тесно связано с его патогенезом. На первоначальном этапе развития происходит постепенное увеличение опухолевой массы. На протяжении первых лет </w:t>
      </w:r>
      <w:r w:rsidR="007671AE">
        <w:rPr>
          <w:rFonts w:ascii="Times New Roman" w:hAnsi="Times New Roman" w:cs="Times New Roman"/>
          <w:sz w:val="28"/>
          <w:szCs w:val="28"/>
        </w:rPr>
        <w:t>болезни основным проявлением ИП</w:t>
      </w:r>
      <w:r w:rsidRPr="00855CA9">
        <w:rPr>
          <w:rFonts w:ascii="Times New Roman" w:hAnsi="Times New Roman" w:cs="Times New Roman"/>
          <w:sz w:val="28"/>
          <w:szCs w:val="28"/>
        </w:rPr>
        <w:t xml:space="preserve"> является повышение риска развития тромбозов и тромбоэмболий на фоне существующей 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сердечно-сосуди</w:t>
      </w:r>
      <w:r w:rsidR="00392F3B" w:rsidRPr="00855CA9">
        <w:rPr>
          <w:rFonts w:ascii="Times New Roman" w:hAnsi="Times New Roman" w:cs="Times New Roman"/>
          <w:sz w:val="28"/>
          <w:szCs w:val="28"/>
        </w:rPr>
        <w:t>стой</w:t>
      </w:r>
      <w:proofErr w:type="gramEnd"/>
      <w:r w:rsidR="00392F3B" w:rsidRPr="00855CA9">
        <w:rPr>
          <w:rFonts w:ascii="Times New Roman" w:hAnsi="Times New Roman" w:cs="Times New Roman"/>
          <w:sz w:val="28"/>
          <w:szCs w:val="28"/>
        </w:rPr>
        <w:t xml:space="preserve"> патологии и атеросклероза. </w:t>
      </w:r>
      <w:r w:rsidRPr="00855CA9">
        <w:rPr>
          <w:rFonts w:ascii="Times New Roman" w:hAnsi="Times New Roman" w:cs="Times New Roman"/>
          <w:sz w:val="28"/>
          <w:szCs w:val="28"/>
        </w:rPr>
        <w:t>Лейкоцитоз и тромбоцитоз могут приводить к нарушениям микроциркуляции и развитию тромбозов.</w:t>
      </w:r>
      <w:r w:rsidR="007671AE">
        <w:rPr>
          <w:rFonts w:ascii="Times New Roman" w:hAnsi="Times New Roman" w:cs="Times New Roman"/>
          <w:sz w:val="28"/>
          <w:szCs w:val="28"/>
        </w:rPr>
        <w:t xml:space="preserve"> Возникновение тромбоза при ИП </w:t>
      </w:r>
      <w:r w:rsidRPr="00855CA9">
        <w:rPr>
          <w:rFonts w:ascii="Times New Roman" w:hAnsi="Times New Roman" w:cs="Times New Roman"/>
          <w:sz w:val="28"/>
          <w:szCs w:val="28"/>
        </w:rPr>
        <w:t>всегда является результатом взаимодействия изменений, обусловленных заболеванием и множественных факторов риска тромбозов.</w:t>
      </w:r>
    </w:p>
    <w:p w:rsidR="00392F3B" w:rsidRPr="00855CA9" w:rsidRDefault="009149B8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 ИП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во вторичный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постполицитемический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посттромбоцитемический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миелофиброз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происходит у 3-10% больных в течение первых 10 лет заболевания и у 6-30% пациентов при продолжительно</w:t>
      </w:r>
      <w:r w:rsidR="009F1B27">
        <w:rPr>
          <w:rFonts w:ascii="Times New Roman" w:hAnsi="Times New Roman" w:cs="Times New Roman"/>
          <w:sz w:val="28"/>
          <w:szCs w:val="28"/>
        </w:rPr>
        <w:t>сти заболевания свыше 10 лет [14, 15, 16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]. При длительном течении заболевания и развитии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миелофиброза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и остеосклероза могут </w:t>
      </w:r>
      <w:r w:rsidR="00AF1EDB" w:rsidRPr="00855CA9">
        <w:rPr>
          <w:rFonts w:ascii="Times New Roman" w:hAnsi="Times New Roman" w:cs="Times New Roman"/>
          <w:sz w:val="28"/>
          <w:szCs w:val="28"/>
        </w:rPr>
        <w:lastRenderedPageBreak/>
        <w:t xml:space="preserve">появляться симптомы интоксикации,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ассоцииированные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с секрецией цитокинов, выход миелоидных предшественников в периферическую кровь, развитие экстрамедуллярных очагов кроветворения в печени, селезенке, других органах. 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Длительная пролиферация опухолевого клона приводит к приобретению дополнительных мутаций и более высокой степени малигнизации. Данный процесс имеет следствием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бластную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трансформацию и развитие терминальной стадии заболевания -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бластной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фазы (БФ), которая наблюдается у 1-2,5% в течение пер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вых 10 лет заболевания и у 5-8% </w:t>
      </w:r>
      <w:r w:rsidRPr="00855CA9">
        <w:rPr>
          <w:rFonts w:ascii="Times New Roman" w:hAnsi="Times New Roman" w:cs="Times New Roman"/>
          <w:sz w:val="28"/>
          <w:szCs w:val="28"/>
        </w:rPr>
        <w:t>больных при боль</w:t>
      </w:r>
      <w:r w:rsidR="009F1B27">
        <w:rPr>
          <w:rFonts w:ascii="Times New Roman" w:hAnsi="Times New Roman" w:cs="Times New Roman"/>
          <w:sz w:val="28"/>
          <w:szCs w:val="28"/>
        </w:rPr>
        <w:t xml:space="preserve">шей длительности заболевания [16, </w:t>
      </w:r>
      <w:r w:rsidRPr="00855CA9">
        <w:rPr>
          <w:rFonts w:ascii="Times New Roman" w:hAnsi="Times New Roman" w:cs="Times New Roman"/>
          <w:sz w:val="28"/>
          <w:szCs w:val="28"/>
        </w:rPr>
        <w:t>1</w:t>
      </w:r>
      <w:r w:rsidR="009F1B27">
        <w:rPr>
          <w:rFonts w:ascii="Times New Roman" w:hAnsi="Times New Roman" w:cs="Times New Roman"/>
          <w:sz w:val="28"/>
          <w:szCs w:val="28"/>
        </w:rPr>
        <w:t>7</w:t>
      </w:r>
      <w:r w:rsidRPr="00855CA9">
        <w:rPr>
          <w:rFonts w:ascii="Times New Roman" w:hAnsi="Times New Roman" w:cs="Times New Roman"/>
          <w:sz w:val="28"/>
          <w:szCs w:val="28"/>
        </w:rPr>
        <w:t>,</w:t>
      </w:r>
      <w:r w:rsidR="009F1B27">
        <w:rPr>
          <w:rFonts w:ascii="Times New Roman" w:hAnsi="Times New Roman" w:cs="Times New Roman"/>
          <w:sz w:val="28"/>
          <w:szCs w:val="28"/>
        </w:rPr>
        <w:t xml:space="preserve"> 18</w:t>
      </w:r>
      <w:r w:rsidRPr="00855CA9">
        <w:rPr>
          <w:rFonts w:ascii="Times New Roman" w:hAnsi="Times New Roman" w:cs="Times New Roman"/>
          <w:sz w:val="28"/>
          <w:szCs w:val="28"/>
        </w:rPr>
        <w:t>].</w:t>
      </w:r>
    </w:p>
    <w:p w:rsidR="00017465" w:rsidRDefault="007671AE" w:rsidP="000174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F1EDB" w:rsidRPr="00017465" w:rsidRDefault="004234A4" w:rsidP="000174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</w:t>
      </w:r>
      <w:r w:rsidR="00B00810" w:rsidRPr="00B00810">
        <w:rPr>
          <w:rFonts w:ascii="Times New Roman" w:hAnsi="Times New Roman" w:cs="Times New Roman"/>
          <w:sz w:val="28"/>
          <w:szCs w:val="28"/>
        </w:rPr>
        <w:t xml:space="preserve"> </w:t>
      </w:r>
      <w:r w:rsidR="00B00810">
        <w:rPr>
          <w:rFonts w:ascii="Times New Roman" w:hAnsi="Times New Roman" w:cs="Times New Roman"/>
          <w:sz w:val="28"/>
          <w:szCs w:val="28"/>
        </w:rPr>
        <w:t>и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стинная полицитемия (ИП; эритремия, болезнь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Вакеза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>, истинная красная полицитемия</w:t>
      </w:r>
      <w:r w:rsidR="00B00810">
        <w:rPr>
          <w:rFonts w:ascii="Times New Roman" w:hAnsi="Times New Roman" w:cs="Times New Roman"/>
          <w:sz w:val="28"/>
          <w:szCs w:val="28"/>
        </w:rPr>
        <w:t>, МКБ Х-</w:t>
      </w:r>
      <w:r w:rsidR="00B0081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00810" w:rsidRPr="00B00810">
        <w:rPr>
          <w:rFonts w:ascii="Times New Roman" w:hAnsi="Times New Roman" w:cs="Times New Roman"/>
          <w:sz w:val="28"/>
          <w:szCs w:val="28"/>
        </w:rPr>
        <w:t>45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) –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клональное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миелопролиферативное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заболевание, которое характеризуется пролиферацией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эритроидного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гранулоцитарного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>, мегакарио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цитарного ростков </w:t>
      </w:r>
      <w:proofErr w:type="spellStart"/>
      <w:r w:rsidR="00591A2A" w:rsidRPr="00855CA9">
        <w:rPr>
          <w:rFonts w:ascii="Times New Roman" w:hAnsi="Times New Roman" w:cs="Times New Roman"/>
          <w:sz w:val="28"/>
          <w:szCs w:val="28"/>
        </w:rPr>
        <w:t>миелопоэза</w:t>
      </w:r>
      <w:proofErr w:type="spellEnd"/>
      <w:r w:rsidR="00591A2A" w:rsidRPr="00855CA9">
        <w:rPr>
          <w:rFonts w:ascii="Times New Roman" w:hAnsi="Times New Roman" w:cs="Times New Roman"/>
          <w:sz w:val="28"/>
          <w:szCs w:val="28"/>
        </w:rPr>
        <w:t xml:space="preserve">, с 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преимущественной пролиферацией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эритроидного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ростка кроветворения, увеличением числа эритроцитов и повышением уровня гемоглобина, тромбоцитозом, лейкоцитозом в периферической крови (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панцитоз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), независимостью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эритропоэза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от нормальных механизмов регуляции. Почти все больные являются носителями мутации JAK2V617F или другой функционально сходной мутации.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855CA9" w:rsidRDefault="00AF1EDB" w:rsidP="004E0876">
      <w:pPr>
        <w:jc w:val="center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План обследования больного при диагностике ИП.</w:t>
      </w:r>
    </w:p>
    <w:p w:rsidR="00AF1EDB" w:rsidRPr="00855CA9" w:rsidRDefault="00AF1EDB" w:rsidP="004E0876">
      <w:pPr>
        <w:jc w:val="center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Обязательные исследования.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Клинические исследования.</w:t>
      </w:r>
    </w:p>
    <w:p w:rsidR="00AF1EDB" w:rsidRPr="00855CA9" w:rsidRDefault="00AF1EDB" w:rsidP="004E0876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5CA9">
        <w:rPr>
          <w:rFonts w:ascii="Times New Roman" w:hAnsi="Times New Roman" w:cs="Times New Roman"/>
          <w:sz w:val="28"/>
          <w:szCs w:val="28"/>
        </w:rPr>
        <w:t xml:space="preserve">Сбор анамнеза,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физикальный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осмотр (с оценкой окраски кожи лица, ладоней, сто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п, </w:t>
      </w:r>
      <w:r w:rsidRPr="00855CA9">
        <w:rPr>
          <w:rFonts w:ascii="Times New Roman" w:hAnsi="Times New Roman" w:cs="Times New Roman"/>
          <w:sz w:val="28"/>
          <w:szCs w:val="28"/>
        </w:rPr>
        <w:t>видимых  слизистых;   осмотром  кожи  нижних  конечно</w:t>
      </w:r>
      <w:r w:rsidR="00591A2A" w:rsidRPr="00855CA9">
        <w:rPr>
          <w:rFonts w:ascii="Times New Roman" w:hAnsi="Times New Roman" w:cs="Times New Roman"/>
          <w:sz w:val="28"/>
          <w:szCs w:val="28"/>
        </w:rPr>
        <w:t>стей  (пигментация,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трофические </w:t>
      </w:r>
      <w:r w:rsidRPr="00855CA9">
        <w:rPr>
          <w:rFonts w:ascii="Times New Roman" w:hAnsi="Times New Roman" w:cs="Times New Roman"/>
          <w:sz w:val="28"/>
          <w:szCs w:val="28"/>
        </w:rPr>
        <w:t>расстройства,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 xml:space="preserve"> отеки, геморрагии), пальпацией печени и селезенки).</w:t>
      </w:r>
      <w:proofErr w:type="gramEnd"/>
    </w:p>
    <w:p w:rsidR="00AF1EDB" w:rsidRPr="00855CA9" w:rsidRDefault="00AF1EDB" w:rsidP="004E0876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Оценка состояния легких, сердца</w:t>
      </w:r>
      <w:r w:rsidR="003A6846">
        <w:rPr>
          <w:rFonts w:ascii="Times New Roman" w:hAnsi="Times New Roman" w:cs="Times New Roman"/>
          <w:sz w:val="28"/>
          <w:szCs w:val="28"/>
        </w:rPr>
        <w:t>,</w:t>
      </w:r>
      <w:r w:rsidRPr="00855CA9">
        <w:rPr>
          <w:rFonts w:ascii="Times New Roman" w:hAnsi="Times New Roman" w:cs="Times New Roman"/>
          <w:sz w:val="28"/>
          <w:szCs w:val="28"/>
        </w:rPr>
        <w:t xml:space="preserve"> желудочно-кишечного тракта, почек по данным физикального обследов</w:t>
      </w:r>
      <w:r w:rsidR="00591A2A" w:rsidRPr="00855CA9">
        <w:rPr>
          <w:rFonts w:ascii="Times New Roman" w:hAnsi="Times New Roman" w:cs="Times New Roman"/>
          <w:sz w:val="28"/>
          <w:szCs w:val="28"/>
        </w:rPr>
        <w:t>ания.</w:t>
      </w:r>
    </w:p>
    <w:p w:rsidR="00AF1EDB" w:rsidRPr="00855CA9" w:rsidRDefault="00AF1EDB" w:rsidP="004E0876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Оценка  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 факторов  риска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  (курение,   сахарный  диабет, </w:t>
      </w:r>
      <w:r w:rsidRPr="00855CA9">
        <w:rPr>
          <w:rFonts w:ascii="Times New Roman" w:hAnsi="Times New Roman" w:cs="Times New Roman"/>
          <w:sz w:val="28"/>
          <w:szCs w:val="28"/>
        </w:rPr>
        <w:t xml:space="preserve">артериальная гипертензия,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гиперхолестеринемия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, ожирение)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Лабораторные исследования.</w:t>
      </w:r>
    </w:p>
    <w:p w:rsidR="00AF1EDB" w:rsidRPr="00855CA9" w:rsidRDefault="00AF1EDB" w:rsidP="004E0876">
      <w:pPr>
        <w:pStyle w:val="a3"/>
        <w:numPr>
          <w:ilvl w:val="0"/>
          <w:numId w:val="4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lastRenderedPageBreak/>
        <w:t>Клинический анализ крови с дифференциальным подсчетом клеток крови с использованием автоматического анализатора (гематокри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т, подсчет числа </w:t>
      </w:r>
      <w:proofErr w:type="spellStart"/>
      <w:r w:rsidR="00591A2A" w:rsidRPr="00855CA9">
        <w:rPr>
          <w:rFonts w:ascii="Times New Roman" w:hAnsi="Times New Roman" w:cs="Times New Roman"/>
          <w:sz w:val="28"/>
          <w:szCs w:val="28"/>
        </w:rPr>
        <w:t>ретикулоцитов</w:t>
      </w:r>
      <w:proofErr w:type="spellEnd"/>
      <w:r w:rsidR="00591A2A" w:rsidRPr="00855CA9">
        <w:rPr>
          <w:rFonts w:ascii="Times New Roman" w:hAnsi="Times New Roman" w:cs="Times New Roman"/>
          <w:sz w:val="28"/>
          <w:szCs w:val="28"/>
        </w:rPr>
        <w:t xml:space="preserve">, </w:t>
      </w:r>
      <w:r w:rsidRPr="00855CA9">
        <w:rPr>
          <w:rFonts w:ascii="Times New Roman" w:hAnsi="Times New Roman" w:cs="Times New Roman"/>
          <w:sz w:val="28"/>
          <w:szCs w:val="28"/>
        </w:rPr>
        <w:t xml:space="preserve">тромбоцитов, средних значений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эритроцитарных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индексов (MCV – средний объем эритроцита, MCH – среднее содержание гемоглобина в эритроците, RDW – ширина распределения эритроцитов по объему)); исследование морфологии эритроц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итов, тромбоцитов, нейтрофилов; </w:t>
      </w:r>
      <w:r w:rsidRPr="00855CA9">
        <w:rPr>
          <w:rFonts w:ascii="Times New Roman" w:hAnsi="Times New Roman" w:cs="Times New Roman"/>
          <w:sz w:val="28"/>
          <w:szCs w:val="28"/>
        </w:rPr>
        <w:t>СОЭ.</w:t>
      </w:r>
    </w:p>
    <w:p w:rsidR="00AF1EDB" w:rsidRPr="00855CA9" w:rsidRDefault="00AF1EDB" w:rsidP="004E0876">
      <w:pPr>
        <w:pStyle w:val="a3"/>
        <w:numPr>
          <w:ilvl w:val="0"/>
          <w:numId w:val="4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Биохимический анализ крови </w:t>
      </w:r>
      <w:r w:rsidR="003A6846">
        <w:rPr>
          <w:rFonts w:ascii="Times New Roman" w:hAnsi="Times New Roman" w:cs="Times New Roman"/>
          <w:sz w:val="28"/>
          <w:szCs w:val="28"/>
        </w:rPr>
        <w:t>(общий билирубин, АСТ, АЛТ, ЛДГ</w:t>
      </w:r>
      <w:r w:rsidRPr="00855CA9">
        <w:rPr>
          <w:rFonts w:ascii="Times New Roman" w:hAnsi="Times New Roman" w:cs="Times New Roman"/>
          <w:sz w:val="28"/>
          <w:szCs w:val="28"/>
        </w:rPr>
        <w:t xml:space="preserve"> мочевая кислота, мочевина,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креати</w:t>
      </w:r>
      <w:r w:rsidR="003A6846">
        <w:rPr>
          <w:rFonts w:ascii="Times New Roman" w:hAnsi="Times New Roman" w:cs="Times New Roman"/>
          <w:sz w:val="28"/>
          <w:szCs w:val="28"/>
        </w:rPr>
        <w:t>нин</w:t>
      </w:r>
      <w:proofErr w:type="spellEnd"/>
      <w:r w:rsidR="003A6846">
        <w:rPr>
          <w:rFonts w:ascii="Times New Roman" w:hAnsi="Times New Roman" w:cs="Times New Roman"/>
          <w:sz w:val="28"/>
          <w:szCs w:val="28"/>
        </w:rPr>
        <w:t xml:space="preserve">, общий белок, альбумин, </w:t>
      </w:r>
      <w:r w:rsidRPr="00855CA9">
        <w:rPr>
          <w:rFonts w:ascii="Times New Roman" w:hAnsi="Times New Roman" w:cs="Times New Roman"/>
          <w:sz w:val="28"/>
          <w:szCs w:val="28"/>
        </w:rPr>
        <w:t xml:space="preserve"> щелочная фосфатаза).</w:t>
      </w:r>
    </w:p>
    <w:p w:rsidR="00AF1EDB" w:rsidRPr="00855CA9" w:rsidRDefault="00AF1EDB" w:rsidP="004E0876">
      <w:pPr>
        <w:pStyle w:val="a3"/>
        <w:numPr>
          <w:ilvl w:val="0"/>
          <w:numId w:val="4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Исследование обмена железа (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ферритин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сыворотки, сывороточное железо, общая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железосвязывающая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способность, насыщение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трансферрина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железом).</w:t>
      </w:r>
    </w:p>
    <w:p w:rsidR="00AF1EDB" w:rsidRPr="00855CA9" w:rsidRDefault="00AF1EDB" w:rsidP="004E0876">
      <w:pPr>
        <w:pStyle w:val="a3"/>
        <w:numPr>
          <w:ilvl w:val="0"/>
          <w:numId w:val="4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Уровень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эритропоэтина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сыворотки крови.</w:t>
      </w:r>
    </w:p>
    <w:p w:rsidR="00AF1EDB" w:rsidRPr="00855CA9" w:rsidRDefault="00AF1EDB" w:rsidP="004E0876">
      <w:pPr>
        <w:pStyle w:val="a3"/>
        <w:numPr>
          <w:ilvl w:val="0"/>
          <w:numId w:val="4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Коагулограмма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протромбиновый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индекс, МНО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, фибриноген, АПТВ, </w:t>
      </w:r>
      <w:proofErr w:type="spellStart"/>
      <w:r w:rsidR="00591A2A" w:rsidRPr="00855CA9">
        <w:rPr>
          <w:rFonts w:ascii="Times New Roman" w:hAnsi="Times New Roman" w:cs="Times New Roman"/>
          <w:sz w:val="28"/>
          <w:szCs w:val="28"/>
        </w:rPr>
        <w:t>тромбиновое</w:t>
      </w:r>
      <w:proofErr w:type="spellEnd"/>
      <w:r w:rsidR="00591A2A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время).</w:t>
      </w:r>
    </w:p>
    <w:p w:rsidR="00AF1EDB" w:rsidRPr="00855CA9" w:rsidRDefault="00AF1EDB" w:rsidP="004E0876">
      <w:pPr>
        <w:pStyle w:val="a3"/>
        <w:numPr>
          <w:ilvl w:val="0"/>
          <w:numId w:val="4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Маркеры гепатита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HBsAg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IgG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-антитела к вирусу гепатита С, реакция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Вассермана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, ВИЧ типов 1,2.</w:t>
      </w:r>
    </w:p>
    <w:p w:rsidR="00AF1EDB" w:rsidRPr="00855CA9" w:rsidRDefault="00AF1EDB" w:rsidP="004E0876">
      <w:pPr>
        <w:pStyle w:val="a3"/>
        <w:numPr>
          <w:ilvl w:val="0"/>
          <w:numId w:val="4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Молекулярно-генетическое исследование периферической крови (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качественная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ПЦР на наличие мутации JAK2 V617F).</w:t>
      </w:r>
    </w:p>
    <w:p w:rsidR="00AF1EDB" w:rsidRPr="00855CA9" w:rsidRDefault="00AF1EDB" w:rsidP="004E0876">
      <w:pPr>
        <w:pStyle w:val="a3"/>
        <w:numPr>
          <w:ilvl w:val="0"/>
          <w:numId w:val="4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Трепанобиопсия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костного мозга с гистологической оценкой и гистохимическим исследованием для выявления ретикулиновых и коллагеновых волокон.</w:t>
      </w:r>
    </w:p>
    <w:p w:rsidR="00AF1EDB" w:rsidRPr="00855CA9" w:rsidRDefault="00AF1EDB" w:rsidP="004E0876">
      <w:pPr>
        <w:pStyle w:val="a3"/>
        <w:numPr>
          <w:ilvl w:val="0"/>
          <w:numId w:val="4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Цитологическое исследование аспирата костного мозга.</w:t>
      </w:r>
    </w:p>
    <w:p w:rsidR="00AF1EDB" w:rsidRPr="00855CA9" w:rsidRDefault="00AF1EDB" w:rsidP="004E0876">
      <w:pPr>
        <w:pStyle w:val="a3"/>
        <w:numPr>
          <w:ilvl w:val="0"/>
          <w:numId w:val="4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Стандартное цитогенетическое исследование крови/костного мозга.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Инструментальные методы.</w:t>
      </w:r>
    </w:p>
    <w:p w:rsidR="00AF1EDB" w:rsidRPr="00855CA9" w:rsidRDefault="00AF1EDB" w:rsidP="004E0876">
      <w:pPr>
        <w:pStyle w:val="a3"/>
        <w:numPr>
          <w:ilvl w:val="0"/>
          <w:numId w:val="5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УЗИ брюшной полости с определением размеро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в печени,  селезенки,  диаметра </w:t>
      </w:r>
      <w:r w:rsidRPr="00855CA9">
        <w:rPr>
          <w:rFonts w:ascii="Times New Roman" w:hAnsi="Times New Roman" w:cs="Times New Roman"/>
          <w:sz w:val="28"/>
          <w:szCs w:val="28"/>
        </w:rPr>
        <w:t>воротной вены.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Исследования при наличии показаний.</w:t>
      </w:r>
    </w:p>
    <w:p w:rsidR="00AF1EDB" w:rsidRPr="00855CA9" w:rsidRDefault="00AF1EDB" w:rsidP="004E0876">
      <w:pPr>
        <w:pStyle w:val="a3"/>
        <w:numPr>
          <w:ilvl w:val="0"/>
          <w:numId w:val="5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Общий анализ мочи (обратить внимание на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наличие </w:t>
      </w:r>
      <w:proofErr w:type="spellStart"/>
      <w:r w:rsidR="00392F3B" w:rsidRPr="00855CA9">
        <w:rPr>
          <w:rFonts w:ascii="Times New Roman" w:hAnsi="Times New Roman" w:cs="Times New Roman"/>
          <w:sz w:val="28"/>
          <w:szCs w:val="28"/>
        </w:rPr>
        <w:t>уратов</w:t>
      </w:r>
      <w:proofErr w:type="spellEnd"/>
      <w:r w:rsidR="00392F3B" w:rsidRPr="00855CA9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392F3B" w:rsidRPr="00855CA9">
        <w:rPr>
          <w:rFonts w:ascii="Times New Roman" w:hAnsi="Times New Roman" w:cs="Times New Roman"/>
          <w:sz w:val="28"/>
          <w:szCs w:val="28"/>
        </w:rPr>
        <w:t>лейкоцитурию</w:t>
      </w:r>
      <w:proofErr w:type="spellEnd"/>
      <w:r w:rsidR="00392F3B" w:rsidRPr="00855CA9">
        <w:rPr>
          <w:rFonts w:ascii="Times New Roman" w:hAnsi="Times New Roman" w:cs="Times New Roman"/>
          <w:sz w:val="28"/>
          <w:szCs w:val="28"/>
        </w:rPr>
        <w:t xml:space="preserve">, </w:t>
      </w:r>
      <w:r w:rsidRPr="00855CA9">
        <w:rPr>
          <w:rFonts w:ascii="Times New Roman" w:hAnsi="Times New Roman" w:cs="Times New Roman"/>
          <w:sz w:val="28"/>
          <w:szCs w:val="28"/>
        </w:rPr>
        <w:t>бактериурию).</w:t>
      </w:r>
    </w:p>
    <w:p w:rsidR="00392F3B" w:rsidRPr="00855CA9" w:rsidRDefault="00AF1EDB" w:rsidP="004E0876">
      <w:pPr>
        <w:pStyle w:val="a3"/>
        <w:numPr>
          <w:ilvl w:val="0"/>
          <w:numId w:val="5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Молекулярно-генетическое исследование периферической крови: определение аллельной нагрузки мутантного JAK2 V617F и «дикого» ти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пов JAK2 гена методом </w:t>
      </w:r>
      <w:proofErr w:type="spellStart"/>
      <w:r w:rsidR="00392F3B" w:rsidRPr="00855CA9">
        <w:rPr>
          <w:rFonts w:ascii="Times New Roman" w:hAnsi="Times New Roman" w:cs="Times New Roman"/>
          <w:sz w:val="28"/>
          <w:szCs w:val="28"/>
        </w:rPr>
        <w:t>real-time</w:t>
      </w:r>
      <w:proofErr w:type="spellEnd"/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ПЦР. При наличии соответствующей возможн</w:t>
      </w:r>
      <w:r w:rsidR="00392F3B" w:rsidRPr="00855CA9">
        <w:rPr>
          <w:rFonts w:ascii="Times New Roman" w:hAnsi="Times New Roman" w:cs="Times New Roman"/>
          <w:sz w:val="28"/>
          <w:szCs w:val="28"/>
        </w:rPr>
        <w:t>ости.</w:t>
      </w:r>
    </w:p>
    <w:p w:rsidR="00AF1EDB" w:rsidRPr="00855CA9" w:rsidRDefault="00AF1EDB" w:rsidP="004E0876">
      <w:pPr>
        <w:pStyle w:val="a3"/>
        <w:numPr>
          <w:ilvl w:val="0"/>
          <w:numId w:val="5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Маркеры 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наследственной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тромбофилии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. При наличии тромбозов. Если есть возможность выполнить данное исследование.</w:t>
      </w:r>
    </w:p>
    <w:p w:rsidR="00AF1EDB" w:rsidRPr="00855CA9" w:rsidRDefault="00AF1EDB" w:rsidP="004E0876">
      <w:pPr>
        <w:pStyle w:val="a3"/>
        <w:numPr>
          <w:ilvl w:val="0"/>
          <w:numId w:val="5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5CA9">
        <w:rPr>
          <w:rFonts w:ascii="Times New Roman" w:hAnsi="Times New Roman" w:cs="Times New Roman"/>
          <w:sz w:val="28"/>
          <w:szCs w:val="28"/>
        </w:rPr>
        <w:lastRenderedPageBreak/>
        <w:t>Коагулограмма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развернутая (антитромбин III, фактор VIII, протеин C, протеин S, D-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димер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, агрегация тромбоцитов с АДФ, агрегация тромб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оцитов с </w:t>
      </w:r>
      <w:proofErr w:type="spellStart"/>
      <w:r w:rsidR="00591A2A" w:rsidRPr="00855CA9">
        <w:rPr>
          <w:rFonts w:ascii="Times New Roman" w:hAnsi="Times New Roman" w:cs="Times New Roman"/>
          <w:sz w:val="28"/>
          <w:szCs w:val="28"/>
        </w:rPr>
        <w:t>ристомицином</w:t>
      </w:r>
      <w:proofErr w:type="spellEnd"/>
      <w:r w:rsidR="00591A2A" w:rsidRPr="00855CA9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гомоцистеин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.   При 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налиции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 тромбозов.   При  наличии 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 возможности  выполнить  данное </w:t>
      </w:r>
      <w:r w:rsidRPr="00855CA9">
        <w:rPr>
          <w:rFonts w:ascii="Times New Roman" w:hAnsi="Times New Roman" w:cs="Times New Roman"/>
          <w:sz w:val="28"/>
          <w:szCs w:val="28"/>
        </w:rPr>
        <w:t>исследование.</w:t>
      </w:r>
    </w:p>
    <w:p w:rsidR="00AF1EDB" w:rsidRPr="00855CA9" w:rsidRDefault="00AF1EDB" w:rsidP="004E0876">
      <w:pPr>
        <w:pStyle w:val="a3"/>
        <w:numPr>
          <w:ilvl w:val="0"/>
          <w:numId w:val="5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МРТ брюшной полости с определением объема селезенки. При остром болевом синдроме в левом подреберье, при подозрении на инфаркт селезенки, при тромбозе в системе портальных вен. Если есть возможность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 выполнить данное исследование.</w:t>
      </w:r>
    </w:p>
    <w:p w:rsidR="00AF1EDB" w:rsidRPr="00855CA9" w:rsidRDefault="00AF1EDB" w:rsidP="004E0876">
      <w:pPr>
        <w:pStyle w:val="a3"/>
        <w:numPr>
          <w:ilvl w:val="0"/>
          <w:numId w:val="5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Фиброэзофагогастроскопия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с оценкой вен пищевода.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Колоноскопия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. (Для исключения наличия варикозного расширения вен, как проявления портальной гипертензии).</w:t>
      </w:r>
    </w:p>
    <w:p w:rsidR="00AF1EDB" w:rsidRPr="00855CA9" w:rsidRDefault="00AF1EDB" w:rsidP="004E0876">
      <w:pPr>
        <w:pStyle w:val="a3"/>
        <w:numPr>
          <w:ilvl w:val="0"/>
          <w:numId w:val="5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УЗИ (допплерография) органов брюшной полос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ти, сосудов портальной системы, </w:t>
      </w:r>
      <w:r w:rsidRPr="00855CA9">
        <w:rPr>
          <w:rFonts w:ascii="Times New Roman" w:hAnsi="Times New Roman" w:cs="Times New Roman"/>
          <w:sz w:val="28"/>
          <w:szCs w:val="28"/>
        </w:rPr>
        <w:t>артерий почек.</w:t>
      </w:r>
    </w:p>
    <w:p w:rsidR="00AF1EDB" w:rsidRPr="00855CA9" w:rsidRDefault="00A323C7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F1EDB" w:rsidRPr="00855CA9">
        <w:rPr>
          <w:rFonts w:ascii="Times New Roman" w:hAnsi="Times New Roman" w:cs="Times New Roman"/>
          <w:sz w:val="28"/>
          <w:szCs w:val="28"/>
        </w:rPr>
        <w:t>Диагностические критерии ИП.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Все пациенты с изменениями в клиническом анализе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 крови (гемоглобин более 185г/л </w:t>
      </w:r>
      <w:r w:rsidRPr="00855CA9">
        <w:rPr>
          <w:rFonts w:ascii="Times New Roman" w:hAnsi="Times New Roman" w:cs="Times New Roman"/>
          <w:sz w:val="28"/>
          <w:szCs w:val="28"/>
        </w:rPr>
        <w:t>для мужчин и 165 г/л для женщин, эритроцитоз, гематокрит &gt; 45%), которые сохраняются более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 xml:space="preserve">2 месяцев, должны быть обследованы для исключения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миелопролиферативного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заболевания.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Диагноз ИП должен быть установлен в соответствии с критериями ВОЗ на основании комплексной оценки клинической картины и лабораторных показателей </w:t>
      </w:r>
      <w:r w:rsidR="009F1B27">
        <w:rPr>
          <w:rFonts w:ascii="Times New Roman" w:hAnsi="Times New Roman" w:cs="Times New Roman"/>
          <w:sz w:val="28"/>
          <w:szCs w:val="28"/>
        </w:rPr>
        <w:t>[19</w:t>
      </w:r>
      <w:r w:rsidRPr="00855CA9">
        <w:rPr>
          <w:rFonts w:ascii="Times New Roman" w:hAnsi="Times New Roman" w:cs="Times New Roman"/>
          <w:sz w:val="28"/>
          <w:szCs w:val="28"/>
        </w:rPr>
        <w:t>].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Большие критерии:</w:t>
      </w:r>
    </w:p>
    <w:p w:rsidR="00AF1EDB" w:rsidRPr="00855CA9" w:rsidRDefault="00AF1EDB" w:rsidP="004E0876">
      <w:pPr>
        <w:pStyle w:val="a3"/>
        <w:numPr>
          <w:ilvl w:val="0"/>
          <w:numId w:val="6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Гемоглобин более 185г/л для мужчин и 165 г/л для женщин или другие признаки повышения объема циркулирующих эритроцитов</w:t>
      </w:r>
      <w:r w:rsidRPr="00855CA9">
        <w:rPr>
          <w:rFonts w:ascii="Times New Roman" w:hAnsi="Times New Roman" w:cs="Times New Roman"/>
          <w:sz w:val="28"/>
          <w:szCs w:val="28"/>
        </w:rPr>
        <w:t>.</w:t>
      </w:r>
    </w:p>
    <w:p w:rsidR="00AF1EDB" w:rsidRPr="00855CA9" w:rsidRDefault="00AF1EDB" w:rsidP="004E0876">
      <w:pPr>
        <w:pStyle w:val="a3"/>
        <w:numPr>
          <w:ilvl w:val="0"/>
          <w:numId w:val="6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Мутация гена JAK2 V617F или в 12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экзоне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.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Малые критерии:</w:t>
      </w:r>
    </w:p>
    <w:p w:rsidR="00AF1EDB" w:rsidRPr="00855CA9" w:rsidRDefault="00AF1EDB" w:rsidP="004E0876">
      <w:pPr>
        <w:pStyle w:val="a3"/>
        <w:numPr>
          <w:ilvl w:val="0"/>
          <w:numId w:val="7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При биопсии костного мозга –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трехростковая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гиперплазия (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панмиелоз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): увеличение пролиферации элементов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эритроидного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гранулоцитарного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, мегакариоцитарного ростков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миелопоэза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.</w:t>
      </w:r>
    </w:p>
    <w:p w:rsidR="00AF1EDB" w:rsidRPr="00855CA9" w:rsidRDefault="00AF1EDB" w:rsidP="004E0876">
      <w:pPr>
        <w:pStyle w:val="a3"/>
        <w:numPr>
          <w:ilvl w:val="0"/>
          <w:numId w:val="7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Уровень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эритропоэтина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(ЭПО) сыворотки ниже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референсных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значений.</w:t>
      </w:r>
    </w:p>
    <w:p w:rsidR="00AF1EDB" w:rsidRPr="00855CA9" w:rsidRDefault="00AF1EDB" w:rsidP="004E0876">
      <w:pPr>
        <w:pStyle w:val="a3"/>
        <w:numPr>
          <w:ilvl w:val="0"/>
          <w:numId w:val="7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Формирование эндогенных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эритроидных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колоний в культуре костномозговых клеток больного без добавления ЭПО.</w:t>
      </w:r>
    </w:p>
    <w:p w:rsidR="00AF1EDB" w:rsidRPr="00855CA9" w:rsidRDefault="00AF1EDB" w:rsidP="004E0876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lastRenderedPageBreak/>
        <w:t>Диагноз ИП подтверждается при наличии двух больших и одного малого критерия или при наличии первого б</w:t>
      </w:r>
      <w:r w:rsidR="00591A2A" w:rsidRPr="00855CA9">
        <w:rPr>
          <w:rFonts w:ascii="Times New Roman" w:hAnsi="Times New Roman" w:cs="Times New Roman"/>
          <w:sz w:val="28"/>
          <w:szCs w:val="28"/>
        </w:rPr>
        <w:t>ольшого и двух малых критериев.</w:t>
      </w:r>
    </w:p>
    <w:p w:rsidR="00AF1EDB" w:rsidRPr="00855CA9" w:rsidRDefault="008F5669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*</w:t>
      </w:r>
      <w:r w:rsidR="00AF1EDB" w:rsidRPr="00855CA9">
        <w:rPr>
          <w:rFonts w:ascii="Times New Roman" w:hAnsi="Times New Roman" w:cs="Times New Roman"/>
          <w:sz w:val="28"/>
          <w:szCs w:val="28"/>
        </w:rPr>
        <w:t>Гематокрит &gt;52% у мужчин, &gt;48% у женщин.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Для эритремии характерно наличие двух основных синдромов: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Плеторический синдром (от слова «плетора» – полнокровие) – характеризуется увеличением массы циркулирующих эритроцитов, что приводит к появлению жалоб на головокружение, головные боли, ухудшение зрения, кожный зуд, приступы стенокардии. При осмотре кожа и видимые слизистые оболочки с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синюшним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оттенком (положительный симптом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Купермана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). Сосудистые осложнения – тромбозы любой локализации, приступы покраснения пальцев рук и ног, которые сопровождаются болью и жжением (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эритромелалгия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).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Миелопролиферативный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синдром обусловлен гиперплазией трех ростков кроветворения. Проявляется в виде кожного зуда, потливости, слабости, повышенной температуры тела, болей в костях. Повышенный распад гранулоцитов сопровождается нарушением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уратового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обмена, что проявляется в виде мочекислого диатеза, камнеобразования в почках, подагры, подагрической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полиартралгии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Спленомегалия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может быть 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обусловлена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увеличением секвестрирующей функции селезенки.</w:t>
      </w:r>
    </w:p>
    <w:p w:rsidR="00591A2A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Выявление мутации JAK2V617F с высокой степенью вероятности (чувствительность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97%,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пецифичность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практически 100%) позволяет установить диагноз ИП у пациентов с соответствующей клинической картиной, т.к. мутация JAK2V617F присутствует у 95 - 98%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="009F1B27">
        <w:rPr>
          <w:rFonts w:ascii="Times New Roman" w:hAnsi="Times New Roman" w:cs="Times New Roman"/>
          <w:sz w:val="28"/>
          <w:szCs w:val="28"/>
        </w:rPr>
        <w:t>пациентов с ИП [7, 8</w:t>
      </w:r>
      <w:r w:rsidRPr="00855CA9">
        <w:rPr>
          <w:rFonts w:ascii="Times New Roman" w:hAnsi="Times New Roman" w:cs="Times New Roman"/>
          <w:sz w:val="28"/>
          <w:szCs w:val="28"/>
        </w:rPr>
        <w:t>].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Настороженность в отношении ИП должна быть по отношению к пациентам с состоявшимися абдоминальными тромбозами, особенно при наличи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и кожного зуда, </w:t>
      </w:r>
      <w:proofErr w:type="spellStart"/>
      <w:r w:rsidR="00591A2A" w:rsidRPr="00855CA9">
        <w:rPr>
          <w:rFonts w:ascii="Times New Roman" w:hAnsi="Times New Roman" w:cs="Times New Roman"/>
          <w:sz w:val="28"/>
          <w:szCs w:val="28"/>
        </w:rPr>
        <w:t>эритромелалгии</w:t>
      </w:r>
      <w:proofErr w:type="spellEnd"/>
      <w:r w:rsidR="00591A2A" w:rsidRPr="00855C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спленомегалии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, лейкоцитоза, тромбоцитоза и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микроцитоза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в периферической крови.</w:t>
      </w:r>
    </w:p>
    <w:p w:rsidR="00591A2A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Диагноз ИП может быть установлен при наличии соответствующей клинической картины (плетора,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спленомегалия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) и лабораторных данных (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панцитоз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в периферической крови,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="009F1B27">
        <w:rPr>
          <w:rFonts w:ascii="Times New Roman" w:hAnsi="Times New Roman" w:cs="Times New Roman"/>
          <w:sz w:val="28"/>
          <w:szCs w:val="28"/>
        </w:rPr>
        <w:t>выявление мутации гена JAK2) [19</w:t>
      </w:r>
      <w:r w:rsidRPr="00855CA9">
        <w:rPr>
          <w:rFonts w:ascii="Times New Roman" w:hAnsi="Times New Roman" w:cs="Times New Roman"/>
          <w:sz w:val="28"/>
          <w:szCs w:val="28"/>
        </w:rPr>
        <w:t xml:space="preserve">]. При ИП морфологическое исследование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трепанобиоптата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костного мозга является малым диагностическим критерием. Однако гистологическое исследование костного мозга на момент диагностики следует выполнять всем пациентам. </w:t>
      </w:r>
      <w:r w:rsidRPr="00855CA9">
        <w:rPr>
          <w:rFonts w:ascii="Times New Roman" w:hAnsi="Times New Roman" w:cs="Times New Roman"/>
          <w:sz w:val="28"/>
          <w:szCs w:val="28"/>
        </w:rPr>
        <w:lastRenderedPageBreak/>
        <w:t>Это исследование позволяет исключить ПМФ. А также, при оценке эффекта проводимой терапии,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при прогрессировании необходимо сопоставление морфологической картины заболевания с данными в дебюте заболевания (до лечения). Установление степени фиброза на момент диагностики несет в себе большую прогностическую информацию.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Прогноз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В целом прогноз у пациентов с ИП благоприятный,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 зависит от характера и тяжести </w:t>
      </w:r>
      <w:r w:rsidRPr="00855CA9">
        <w:rPr>
          <w:rFonts w:ascii="Times New Roman" w:hAnsi="Times New Roman" w:cs="Times New Roman"/>
          <w:sz w:val="28"/>
          <w:szCs w:val="28"/>
        </w:rPr>
        <w:t xml:space="preserve">тромбогеморрагических осложнений, времени до трансформации в пост-ИП МФ или прогрессирования в ОМЛ. Согласно данным ВОЗ 10-летняя выживаемость больных ИП составляет более 75%. Риск трансформации в ОМЛ равен 5%, </w:t>
      </w:r>
      <w:r w:rsidR="00850E04">
        <w:rPr>
          <w:rFonts w:ascii="Times New Roman" w:hAnsi="Times New Roman" w:cs="Times New Roman"/>
          <w:sz w:val="28"/>
          <w:szCs w:val="28"/>
        </w:rPr>
        <w:t>риск развития МФ – менее 10% [20</w:t>
      </w:r>
      <w:r w:rsidRPr="00855CA9">
        <w:rPr>
          <w:rFonts w:ascii="Times New Roman" w:hAnsi="Times New Roman" w:cs="Times New Roman"/>
          <w:sz w:val="28"/>
          <w:szCs w:val="28"/>
        </w:rPr>
        <w:t>]. Причиной смерти больных ИП являются тромбозы, геморрагические и инфекционные осложнения, нарушения функции внутренних органов, частота которых значимо увеличивается при развитии пост-ИП МФ или трансформации в ОМЛ. Качество жизни пациентов с ИП страдает из-за симптомов интоксикации, значительная доля пациентов испытывают вазомоторные расстройства (головные боли, головокружен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ие, парестезии, </w:t>
      </w:r>
      <w:proofErr w:type="spellStart"/>
      <w:r w:rsidR="00591A2A" w:rsidRPr="00855CA9">
        <w:rPr>
          <w:rFonts w:ascii="Times New Roman" w:hAnsi="Times New Roman" w:cs="Times New Roman"/>
          <w:sz w:val="28"/>
          <w:szCs w:val="28"/>
        </w:rPr>
        <w:t>эритромелалгия</w:t>
      </w:r>
      <w:proofErr w:type="spellEnd"/>
      <w:r w:rsidR="00591A2A" w:rsidRPr="00855CA9">
        <w:rPr>
          <w:rFonts w:ascii="Times New Roman" w:hAnsi="Times New Roman" w:cs="Times New Roman"/>
          <w:sz w:val="28"/>
          <w:szCs w:val="28"/>
        </w:rPr>
        <w:t xml:space="preserve">, </w:t>
      </w:r>
      <w:r w:rsidR="00850E04">
        <w:rPr>
          <w:rFonts w:ascii="Times New Roman" w:hAnsi="Times New Roman" w:cs="Times New Roman"/>
          <w:sz w:val="28"/>
          <w:szCs w:val="28"/>
        </w:rPr>
        <w:t>атипичная боль в груди) [21</w:t>
      </w:r>
      <w:r w:rsidRPr="00855CA9">
        <w:rPr>
          <w:rFonts w:ascii="Times New Roman" w:hAnsi="Times New Roman" w:cs="Times New Roman"/>
          <w:sz w:val="28"/>
          <w:szCs w:val="28"/>
        </w:rPr>
        <w:t>].</w:t>
      </w:r>
    </w:p>
    <w:p w:rsidR="00AF1EDB" w:rsidRPr="00855CA9" w:rsidRDefault="00AF1EDB" w:rsidP="00780CA4">
      <w:pPr>
        <w:jc w:val="center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Стратификация риска тромбогеморрагических осложнений при ИП.</w:t>
      </w:r>
    </w:p>
    <w:p w:rsidR="00AF1EDB" w:rsidRPr="00855CA9" w:rsidRDefault="00FF1009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="00AF1EDB" w:rsidRPr="00855CA9">
        <w:rPr>
          <w:rFonts w:ascii="Times New Roman" w:hAnsi="Times New Roman" w:cs="Times New Roman"/>
          <w:sz w:val="28"/>
          <w:szCs w:val="28"/>
        </w:rPr>
        <w:t>. Стратификация риска развития тромбогеморрагических осложнений при ИП.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2976"/>
        <w:gridCol w:w="3118"/>
      </w:tblGrid>
      <w:tr w:rsidR="001864C9" w:rsidRPr="00855CA9" w:rsidTr="001864C9">
        <w:trPr>
          <w:trHeight w:val="254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253" w:lineRule="exact"/>
              <w:ind w:left="10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743B89AC" wp14:editId="2B1D8B64">
                      <wp:simplePos x="0" y="0"/>
                      <wp:positionH relativeFrom="column">
                        <wp:posOffset>3855720</wp:posOffset>
                      </wp:positionH>
                      <wp:positionV relativeFrom="paragraph">
                        <wp:posOffset>0</wp:posOffset>
                      </wp:positionV>
                      <wp:extent cx="0" cy="1310640"/>
                      <wp:effectExtent l="0" t="0" r="19050" b="2286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1064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6pt,0" to="303.6pt,1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" o:allowincell="f" strokeweight=".48pt"/>
                  </w:pict>
                </mc:Fallback>
              </mc:AlternateConten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Категории риска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253" w:lineRule="exact"/>
              <w:ind w:left="80"/>
              <w:rPr>
                <w:rFonts w:ascii="Times New Roman" w:eastAsia="Arial" w:hAnsi="Times New Roman" w:cs="Times New Roman"/>
                <w:w w:val="93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w w:val="93"/>
                <w:sz w:val="28"/>
                <w:szCs w:val="28"/>
                <w:lang w:eastAsia="ru-RU"/>
              </w:rPr>
              <w:t xml:space="preserve">Возраст старше </w:t>
            </w:r>
            <w:r w:rsidRPr="00855CA9">
              <w:rPr>
                <w:rFonts w:ascii="Times New Roman" w:eastAsia="Times New Roman" w:hAnsi="Times New Roman" w:cs="Times New Roman"/>
                <w:w w:val="93"/>
                <w:sz w:val="28"/>
                <w:szCs w:val="28"/>
                <w:lang w:eastAsia="ru-RU"/>
              </w:rPr>
              <w:t>60</w:t>
            </w:r>
            <w:r w:rsidRPr="00855CA9">
              <w:rPr>
                <w:rFonts w:ascii="Times New Roman" w:eastAsia="Arial" w:hAnsi="Times New Roman" w:cs="Times New Roman"/>
                <w:w w:val="93"/>
                <w:sz w:val="28"/>
                <w:szCs w:val="28"/>
                <w:lang w:eastAsia="ru-RU"/>
              </w:rPr>
              <w:t xml:space="preserve"> лет и</w:t>
            </w:r>
            <w:r w:rsidRPr="00855CA9">
              <w:rPr>
                <w:rFonts w:ascii="Times New Roman" w:eastAsia="Times New Roman" w:hAnsi="Times New Roman" w:cs="Times New Roman"/>
                <w:w w:val="93"/>
                <w:sz w:val="28"/>
                <w:szCs w:val="28"/>
                <w:lang w:eastAsia="ru-RU"/>
              </w:rPr>
              <w:t>/</w:t>
            </w:r>
            <w:r w:rsidRPr="00855CA9">
              <w:rPr>
                <w:rFonts w:ascii="Times New Roman" w:eastAsia="Arial" w:hAnsi="Times New Roman" w:cs="Times New Roman"/>
                <w:w w:val="93"/>
                <w:sz w:val="28"/>
                <w:szCs w:val="28"/>
                <w:lang w:eastAsia="ru-RU"/>
              </w:rPr>
              <w:t>или</w:t>
            </w:r>
          </w:p>
          <w:p w:rsidR="001864C9" w:rsidRPr="00855CA9" w:rsidRDefault="001864C9" w:rsidP="00735413">
            <w:pPr>
              <w:spacing w:after="0" w:line="0" w:lineRule="atLeast"/>
              <w:ind w:left="80"/>
              <w:rPr>
                <w:rFonts w:ascii="Times New Roman" w:eastAsia="Arial" w:hAnsi="Times New Roman" w:cs="Times New Roman"/>
                <w:w w:val="93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тромбозы в анамнезе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253" w:lineRule="exact"/>
              <w:ind w:left="11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Сердечно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сосудистые</w:t>
            </w:r>
            <w:proofErr w:type="gramEnd"/>
          </w:p>
          <w:p w:rsidR="001864C9" w:rsidRPr="00855CA9" w:rsidRDefault="001864C9" w:rsidP="00735413">
            <w:pPr>
              <w:spacing w:after="0" w:line="0" w:lineRule="atLeast"/>
              <w:ind w:left="11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факторы риска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1864C9" w:rsidRPr="00855CA9" w:rsidTr="001864C9">
        <w:trPr>
          <w:trHeight w:val="403"/>
        </w:trPr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0" w:lineRule="atLeas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64C9" w:rsidRPr="00855CA9" w:rsidTr="001864C9">
        <w:trPr>
          <w:trHeight w:val="140"/>
        </w:trPr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64C9" w:rsidRPr="00855CA9" w:rsidTr="001864C9">
        <w:trPr>
          <w:trHeight w:val="251"/>
        </w:trPr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250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Низкий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64C9" w:rsidRPr="00855CA9" w:rsidRDefault="001864C9" w:rsidP="001864C9">
            <w:pPr>
              <w:spacing w:after="0" w:line="250" w:lineRule="exact"/>
              <w:ind w:lef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64C9" w:rsidRPr="00855CA9" w:rsidRDefault="001864C9" w:rsidP="001864C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Times New Roman" w:hAnsi="Times New Roman" w:cs="Times New Roman"/>
                <w:w w:val="74"/>
                <w:sz w:val="28"/>
                <w:szCs w:val="28"/>
                <w:lang w:eastAsia="ru-RU"/>
              </w:rPr>
              <w:t>—</w:t>
            </w:r>
          </w:p>
        </w:tc>
      </w:tr>
      <w:tr w:rsidR="001864C9" w:rsidRPr="00855CA9" w:rsidTr="001864C9">
        <w:trPr>
          <w:trHeight w:val="142"/>
        </w:trPr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64C9" w:rsidRPr="00855CA9" w:rsidRDefault="001864C9" w:rsidP="001864C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64C9" w:rsidRPr="00855CA9" w:rsidRDefault="001864C9" w:rsidP="001864C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64C9" w:rsidRPr="00855CA9" w:rsidTr="001864C9">
        <w:trPr>
          <w:trHeight w:val="253"/>
        </w:trPr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Промежуточный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64C9" w:rsidRPr="00855CA9" w:rsidRDefault="001864C9" w:rsidP="001864C9">
            <w:pPr>
              <w:spacing w:after="0" w:line="252" w:lineRule="exact"/>
              <w:ind w:lef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64C9" w:rsidRPr="00855CA9" w:rsidRDefault="001864C9" w:rsidP="001864C9">
            <w:pPr>
              <w:spacing w:after="0" w:line="252" w:lineRule="exact"/>
              <w:ind w:lef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</w:tr>
      <w:tr w:rsidR="001864C9" w:rsidRPr="00855CA9" w:rsidTr="001864C9">
        <w:trPr>
          <w:trHeight w:val="140"/>
        </w:trPr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64C9" w:rsidRPr="00855CA9" w:rsidRDefault="001864C9" w:rsidP="001864C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64C9" w:rsidRPr="00855CA9" w:rsidRDefault="001864C9" w:rsidP="001864C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64C9" w:rsidRPr="00855CA9" w:rsidTr="001864C9">
        <w:trPr>
          <w:trHeight w:val="653"/>
        </w:trPr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Высокий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64C9" w:rsidRPr="00855CA9" w:rsidRDefault="001864C9" w:rsidP="001864C9">
            <w:pPr>
              <w:spacing w:after="0" w:line="252" w:lineRule="exact"/>
              <w:ind w:lef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64C9" w:rsidRPr="00855CA9" w:rsidRDefault="001864C9" w:rsidP="001864C9">
            <w:pPr>
              <w:spacing w:after="0" w:line="252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+/—</w:t>
            </w:r>
          </w:p>
        </w:tc>
      </w:tr>
      <w:tr w:rsidR="001864C9" w:rsidRPr="00855CA9" w:rsidTr="001864C9">
        <w:trPr>
          <w:trHeight w:val="140"/>
        </w:trPr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64C9" w:rsidRPr="00855CA9" w:rsidRDefault="001864C9" w:rsidP="007354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A44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Важно, что при ИП роль уровня тромбоцитов в развитии тромбозов не доказана. При этом высокий тромбоцитоз (более</w:t>
      </w:r>
      <w:r w:rsidR="00591A2A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 xml:space="preserve">1000х109/л) был риском для геморрагических осложнений из-за развития приобретенного синдрома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В</w:t>
      </w:r>
      <w:r w:rsidR="00850E04">
        <w:rPr>
          <w:rFonts w:ascii="Times New Roman" w:hAnsi="Times New Roman" w:cs="Times New Roman"/>
          <w:sz w:val="28"/>
          <w:szCs w:val="28"/>
        </w:rPr>
        <w:t>иллебранда</w:t>
      </w:r>
      <w:proofErr w:type="spellEnd"/>
      <w:r w:rsidR="00850E04">
        <w:rPr>
          <w:rFonts w:ascii="Times New Roman" w:hAnsi="Times New Roman" w:cs="Times New Roman"/>
          <w:sz w:val="28"/>
          <w:szCs w:val="28"/>
        </w:rPr>
        <w:t xml:space="preserve"> [22, 2</w:t>
      </w:r>
      <w:r w:rsidRPr="00855CA9">
        <w:rPr>
          <w:rFonts w:ascii="Times New Roman" w:hAnsi="Times New Roman" w:cs="Times New Roman"/>
          <w:sz w:val="28"/>
          <w:szCs w:val="28"/>
        </w:rPr>
        <w:t>3]. Влияние лейкоцитоза на развитие тромботических осложнений однозначно не доказано.</w:t>
      </w:r>
    </w:p>
    <w:p w:rsidR="00AF1EDB" w:rsidRPr="00855CA9" w:rsidRDefault="00AF1EDB" w:rsidP="00780CA4">
      <w:pPr>
        <w:jc w:val="center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lastRenderedPageBreak/>
        <w:t>ОПРЕДЕЛЕНИЕ ТАКТИКИ ТЕРАПИИ ПРИ ИП</w:t>
      </w:r>
    </w:p>
    <w:p w:rsidR="003A6846" w:rsidRPr="00053AFF" w:rsidRDefault="00AF1EDB" w:rsidP="003A68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>Цели терапии ИП</w:t>
      </w:r>
      <w:r w:rsidR="003A6846" w:rsidRPr="00053AFF">
        <w:rPr>
          <w:rFonts w:ascii="Times New Roman" w:hAnsi="Times New Roman" w:cs="Times New Roman"/>
          <w:sz w:val="28"/>
          <w:szCs w:val="28"/>
        </w:rPr>
        <w:t>:</w:t>
      </w:r>
    </w:p>
    <w:p w:rsidR="00AF1EDB" w:rsidRPr="00053AFF" w:rsidRDefault="00775A44" w:rsidP="003A68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>-</w:t>
      </w:r>
      <w:r w:rsidR="00AF1EDB" w:rsidRPr="00053AFF">
        <w:rPr>
          <w:rFonts w:ascii="Times New Roman" w:hAnsi="Times New Roman" w:cs="Times New Roman"/>
          <w:sz w:val="28"/>
          <w:szCs w:val="28"/>
        </w:rPr>
        <w:t>предотвращение и лечение тромбогеморрагических осложнений;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>-контроль симптомов опухолевой интоксикации (снижение веса, потливость, лихорадка, зуд);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>-сведение к минимуму риска развития острого лейкоза и пост-ИП МФ;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>-предупреждение осложнений в случае беременности, хирургических операций.</w:t>
      </w:r>
    </w:p>
    <w:p w:rsidR="00AF1EDB" w:rsidRPr="00053AFF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>Методы терапевтического воздействия при ИП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 xml:space="preserve">•Профилактика тромботических осложнений -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антиагреганты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>:</w:t>
      </w:r>
    </w:p>
    <w:p w:rsidR="00AF1EDB" w:rsidRPr="00053AFF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 xml:space="preserve">– ацетилсалициловая кислота (40-325 мг/сут),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клопидогрель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(75 мг/сут).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>•Физическое удаление избыточной массы циркулирующих эритроцитов:</w:t>
      </w:r>
    </w:p>
    <w:p w:rsidR="00AF1EDB" w:rsidRPr="00053AFF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гемоэксфузии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(кровопускания);</w:t>
      </w:r>
    </w:p>
    <w:p w:rsidR="00AF1EDB" w:rsidRPr="00053AFF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эритроцитаферез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(ручной или аппаратный);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>•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Циторедуктивная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терапия:</w:t>
      </w:r>
    </w:p>
    <w:p w:rsidR="00AF1EDB" w:rsidRPr="00053AFF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цитостатики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гидроксимочевина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10-30 мг/кг/сут,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меркаптопурин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1-2 мг/кг/сут,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цитарабин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10-20 мг/м</w:t>
      </w:r>
      <w:proofErr w:type="gramStart"/>
      <w:r w:rsidRPr="00053AFF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053AFF">
        <w:rPr>
          <w:rFonts w:ascii="Times New Roman" w:hAnsi="Times New Roman" w:cs="Times New Roman"/>
          <w:sz w:val="28"/>
          <w:szCs w:val="28"/>
        </w:rPr>
        <w:t>/сут 10-14 дней каждый месяц;</w:t>
      </w:r>
    </w:p>
    <w:p w:rsidR="00AF1EDB" w:rsidRPr="00053AFF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 xml:space="preserve">–  интерферон-альфа 1,5-5 </w:t>
      </w:r>
      <w:proofErr w:type="gramStart"/>
      <w:r w:rsidRPr="00053AFF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053AFF">
        <w:rPr>
          <w:rFonts w:ascii="Times New Roman" w:hAnsi="Times New Roman" w:cs="Times New Roman"/>
          <w:sz w:val="28"/>
          <w:szCs w:val="28"/>
        </w:rPr>
        <w:t xml:space="preserve"> МЕ 3 раза в неделю;</w:t>
      </w:r>
    </w:p>
    <w:p w:rsidR="00AF1EDB" w:rsidRPr="00053AFF" w:rsidRDefault="00775A44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>•</w:t>
      </w:r>
      <w:r w:rsidR="00AF1EDB" w:rsidRPr="00053AFF">
        <w:rPr>
          <w:rFonts w:ascii="Times New Roman" w:hAnsi="Times New Roman" w:cs="Times New Roman"/>
          <w:sz w:val="28"/>
          <w:szCs w:val="28"/>
        </w:rPr>
        <w:t>Лечение осложнений заболевания (тромбозы, тромбоэмболии).</w:t>
      </w:r>
    </w:p>
    <w:p w:rsidR="00775A44" w:rsidRPr="00053AFF" w:rsidRDefault="00775A44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053AFF" w:rsidRDefault="00AF1EDB" w:rsidP="00780CA4">
      <w:pPr>
        <w:jc w:val="center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>Суммированные рекомендации по лечению ИП</w:t>
      </w:r>
    </w:p>
    <w:p w:rsidR="00AF1EDB" w:rsidRPr="00053AFF" w:rsidRDefault="00780CA4" w:rsidP="00780CA4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 xml:space="preserve">1. </w:t>
      </w:r>
      <w:r w:rsidR="00AF1EDB" w:rsidRPr="00053AFF">
        <w:rPr>
          <w:rFonts w:ascii="Times New Roman" w:hAnsi="Times New Roman" w:cs="Times New Roman"/>
          <w:sz w:val="28"/>
          <w:szCs w:val="28"/>
        </w:rPr>
        <w:t>Для всех пациентов.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 xml:space="preserve">-Купирование </w:t>
      </w:r>
      <w:proofErr w:type="gramStart"/>
      <w:r w:rsidRPr="00053AFF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gramEnd"/>
      <w:r w:rsidRPr="00053AFF">
        <w:rPr>
          <w:rFonts w:ascii="Times New Roman" w:hAnsi="Times New Roman" w:cs="Times New Roman"/>
          <w:sz w:val="28"/>
          <w:szCs w:val="28"/>
        </w:rPr>
        <w:t xml:space="preserve"> факторов риска (отказ от курения, нормализация уровня артериального давления, коррекция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гиперхолестеринемии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гиперглюкоземии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>, нормализация веса и т.д.).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 xml:space="preserve">-При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гиперурикемии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(в том числе при отсутствии клинической симптоматики) применяется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аллопуринол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в дозе 100–300 мг/сутки.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lastRenderedPageBreak/>
        <w:t xml:space="preserve"> -Для лечения кожного зуда применяются Н</w:t>
      </w:r>
      <w:proofErr w:type="gramStart"/>
      <w:r w:rsidRPr="00053AFF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053AFF">
        <w:rPr>
          <w:rFonts w:ascii="Times New Roman" w:hAnsi="Times New Roman" w:cs="Times New Roman"/>
          <w:sz w:val="28"/>
          <w:szCs w:val="28"/>
        </w:rPr>
        <w:t xml:space="preserve"> или Н2-антагонисты гистамина. При отсутствии эффекта используются препараты ацетилсалициловой кислоты и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миелосупрессивные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препараты, при негативном результате этого лечения - PUVA. Пациентов с выраженными симптомами интоксикации следует включать в клинические исследования по терапии ингибиторами JAK2.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 xml:space="preserve">-Плановые хирургические вмешательства и лечение у стоматолога должны быть отложены до нормализации числа эритроцитов и тромбоцитов. При необходимости выполнения неотложных хирургических операций предварительно проводятся кровопускания и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эритроцитаферез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до нормализации уровня гематокрита. </w:t>
      </w:r>
      <w:proofErr w:type="gramStart"/>
      <w:r w:rsidRPr="00053AFF">
        <w:rPr>
          <w:rFonts w:ascii="Times New Roman" w:hAnsi="Times New Roman" w:cs="Times New Roman"/>
          <w:sz w:val="28"/>
          <w:szCs w:val="28"/>
        </w:rPr>
        <w:t xml:space="preserve">Противопоказанием для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гемоэксфузий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являются перенесенные тромботические осложнения (в этих случаях возможно проведение только аппаратного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эритроцитофереза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053A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Дезагрегантная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терапия должна быть прекращена за сутки</w:t>
      </w:r>
      <w:r w:rsidR="00775A44" w:rsidRPr="00053AFF">
        <w:rPr>
          <w:rFonts w:ascii="Times New Roman" w:hAnsi="Times New Roman" w:cs="Times New Roman"/>
          <w:sz w:val="28"/>
          <w:szCs w:val="28"/>
        </w:rPr>
        <w:t xml:space="preserve"> до оперативного вмешательства.</w:t>
      </w:r>
    </w:p>
    <w:p w:rsidR="00780CA4" w:rsidRPr="00053AFF" w:rsidRDefault="00AF1EDB" w:rsidP="00780CA4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>-Препараты ацетилсалициловой кислоты (40-325 мг/сут), при непереносимости или противопоказан</w:t>
      </w:r>
      <w:r w:rsidR="00780CA4" w:rsidRPr="00053AFF">
        <w:rPr>
          <w:rFonts w:ascii="Times New Roman" w:hAnsi="Times New Roman" w:cs="Times New Roman"/>
          <w:sz w:val="28"/>
          <w:szCs w:val="28"/>
        </w:rPr>
        <w:t xml:space="preserve">иях - </w:t>
      </w:r>
      <w:proofErr w:type="spellStart"/>
      <w:r w:rsidR="00780CA4" w:rsidRPr="00053AFF">
        <w:rPr>
          <w:rFonts w:ascii="Times New Roman" w:hAnsi="Times New Roman" w:cs="Times New Roman"/>
          <w:sz w:val="28"/>
          <w:szCs w:val="28"/>
        </w:rPr>
        <w:t>клопидогрель</w:t>
      </w:r>
      <w:proofErr w:type="spellEnd"/>
      <w:r w:rsidR="00780CA4" w:rsidRPr="00053AFF">
        <w:rPr>
          <w:rFonts w:ascii="Times New Roman" w:hAnsi="Times New Roman" w:cs="Times New Roman"/>
          <w:sz w:val="28"/>
          <w:szCs w:val="28"/>
        </w:rPr>
        <w:t xml:space="preserve"> (75 мг/сут).</w:t>
      </w:r>
    </w:p>
    <w:p w:rsidR="00AF1EDB" w:rsidRPr="00053AFF" w:rsidRDefault="00780CA4" w:rsidP="00780CA4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 xml:space="preserve">2. </w:t>
      </w:r>
      <w:r w:rsidR="00AF1EDB" w:rsidRPr="00053AFF">
        <w:rPr>
          <w:rFonts w:ascii="Times New Roman" w:hAnsi="Times New Roman" w:cs="Times New Roman"/>
          <w:sz w:val="28"/>
          <w:szCs w:val="28"/>
        </w:rPr>
        <w:t>Для пациентов группы низкого риска развития тромбогеморрагических осложнений.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>-Кровопускания для поддержания уровня гематокрита менее 45%.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Циторедуктивную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терапию целесообразно проводить у пациентов с низким риском развития тромбогеморрагических осложнений: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 xml:space="preserve">• при плохой переносимости кровопусканий,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эритроцитафереза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>,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 xml:space="preserve">• при частых кровопусканиях (при необходимости проведения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гемоэксфузий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чаще, чем через 3 месяца),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 xml:space="preserve">• при </w:t>
      </w:r>
      <w:proofErr w:type="gramStart"/>
      <w:r w:rsidRPr="00053AFF">
        <w:rPr>
          <w:rFonts w:ascii="Times New Roman" w:hAnsi="Times New Roman" w:cs="Times New Roman"/>
          <w:sz w:val="28"/>
          <w:szCs w:val="28"/>
        </w:rPr>
        <w:t>симптоматической</w:t>
      </w:r>
      <w:proofErr w:type="gramEnd"/>
      <w:r w:rsidRPr="00053AFF">
        <w:rPr>
          <w:rFonts w:ascii="Times New Roman" w:hAnsi="Times New Roman" w:cs="Times New Roman"/>
          <w:sz w:val="28"/>
          <w:szCs w:val="28"/>
        </w:rPr>
        <w:t xml:space="preserve"> или прогрессирующей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спленомегалии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(исключая синдром 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Бадда-Киари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>),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>• при признаках прогрессирования болезни (потеря веса, потливость, нарастание лейкоцитоза и/или тромбоцитоза).</w:t>
      </w:r>
    </w:p>
    <w:p w:rsidR="00AF1EDB" w:rsidRPr="00053AFF" w:rsidRDefault="00780CA4" w:rsidP="00780CA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 xml:space="preserve">3. </w:t>
      </w:r>
      <w:r w:rsidR="00AF1EDB" w:rsidRPr="00053AFF">
        <w:rPr>
          <w:rFonts w:ascii="Times New Roman" w:hAnsi="Times New Roman" w:cs="Times New Roman"/>
          <w:sz w:val="28"/>
          <w:szCs w:val="28"/>
        </w:rPr>
        <w:t>Для пациентов группы промежуточного и высокого риска развития тромбогеморрагических осложнений:</w:t>
      </w:r>
    </w:p>
    <w:p w:rsidR="00AF1EDB" w:rsidRPr="00053AFF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053AF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53AFF">
        <w:rPr>
          <w:rFonts w:ascii="Times New Roman" w:hAnsi="Times New Roman" w:cs="Times New Roman"/>
          <w:sz w:val="28"/>
          <w:szCs w:val="28"/>
        </w:rPr>
        <w:t>Циторедуктивная</w:t>
      </w:r>
      <w:proofErr w:type="spellEnd"/>
      <w:r w:rsidRPr="00053AFF">
        <w:rPr>
          <w:rFonts w:ascii="Times New Roman" w:hAnsi="Times New Roman" w:cs="Times New Roman"/>
          <w:sz w:val="28"/>
          <w:szCs w:val="28"/>
        </w:rPr>
        <w:t xml:space="preserve"> терапия.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855CA9" w:rsidRDefault="00527C0A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AF1EDB" w:rsidRPr="00855CA9">
        <w:rPr>
          <w:rFonts w:ascii="Times New Roman" w:hAnsi="Times New Roman" w:cs="Times New Roman"/>
          <w:sz w:val="28"/>
          <w:szCs w:val="28"/>
        </w:rPr>
        <w:t>Риск-адаптированная</w:t>
      </w:r>
      <w:proofErr w:type="gram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тера</w:t>
      </w:r>
      <w:r w:rsidR="00043F4C">
        <w:rPr>
          <w:rFonts w:ascii="Times New Roman" w:hAnsi="Times New Roman" w:cs="Times New Roman"/>
          <w:sz w:val="28"/>
          <w:szCs w:val="28"/>
        </w:rPr>
        <w:t>пия с учетом возраста пациентов</w:t>
      </w:r>
      <w:r w:rsidR="00AF1EDB" w:rsidRPr="00855CA9">
        <w:rPr>
          <w:rFonts w:ascii="Times New Roman" w:hAnsi="Times New Roman" w:cs="Times New Roman"/>
          <w:sz w:val="28"/>
          <w:szCs w:val="28"/>
        </w:rPr>
        <w:t>.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Лечение больных ИП в возрасте менее 50 лет: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•Отсутствие проявлений 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патологии, тромбозов в анамнезе: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–  наблюдение +/- низкие дозы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антиагрегантов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;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– 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гемоэксфузии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эритроцитаферез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;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– при плохой переносимости (сосудистые реакции при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эксфузиях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, слабость при тканевом дефиците железа) - ИФН-альфа,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гидроксимочевина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;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– при резистентности / непереносимости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циторедуктивной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терапии включение в клинические исследования по использованию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таргетной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терапии (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Руксолитиниб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);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•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Сердечно-сосудистая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патология в стадии декомпенсац</w:t>
      </w:r>
      <w:r w:rsidR="00775A44" w:rsidRPr="00855CA9">
        <w:rPr>
          <w:rFonts w:ascii="Times New Roman" w:hAnsi="Times New Roman" w:cs="Times New Roman"/>
          <w:sz w:val="28"/>
          <w:szCs w:val="28"/>
        </w:rPr>
        <w:t xml:space="preserve">ии, требующая лечения, тромбозы в </w:t>
      </w:r>
      <w:r w:rsidRPr="00855CA9">
        <w:rPr>
          <w:rFonts w:ascii="Times New Roman" w:hAnsi="Times New Roman" w:cs="Times New Roman"/>
          <w:sz w:val="28"/>
          <w:szCs w:val="28"/>
        </w:rPr>
        <w:t>анамнезе: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–  низкие дозы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антиагрегантов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;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– 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гидроксимочевина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;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– при резистентности / непереносимости ИФН-альфа, включение в клинические исследования по использованию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таргетной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терапии (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Руксолитиниб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).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Лечение больных ИП в возрасте 50-70 лет: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•Отсутствие проявлений 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патологии, тромбозов в анамнезе: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–Низкие дозы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антиагрегантов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;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Гидроксимочевина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+/-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гемоэксфузии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эритроцитоферез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;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– при резистентности / непереносимости – ИФН-альфа, включение в клинические исследования по использованию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таргетной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терапии (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Руксолитиниб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);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•Активная 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сердечно-сосудистая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патология, тромбозы в анамнезе: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–  низкие дозы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антиагрегантов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;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lastRenderedPageBreak/>
        <w:t xml:space="preserve">– 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гидроксимочевина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;</w:t>
      </w:r>
    </w:p>
    <w:p w:rsidR="00AF1EDB" w:rsidRPr="00855CA9" w:rsidRDefault="00AF1EDB" w:rsidP="004E08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–  при резистентности / непереносимости –  ИФН-альфа, включение в клинические</w:t>
      </w:r>
      <w:r w:rsidR="00775A44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 xml:space="preserve">исследования по использованию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таргетной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терапии (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Руксолитиниб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).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Лечение больных ИП в возрасте старше 70 лет: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–  низкие дозы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антиагрегантов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;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– 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гидроксимочевина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;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– 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бусульфан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.</w:t>
      </w:r>
    </w:p>
    <w:p w:rsidR="00AF1EDB" w:rsidRPr="00855CA9" w:rsidRDefault="00AF1EDB" w:rsidP="00780CA4">
      <w:pPr>
        <w:jc w:val="center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Кровопускания.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С  целью  уменьшить  объем циркулирующей  крови  используют  кровопускание.</w:t>
      </w:r>
      <w:r w:rsidR="00775A44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 xml:space="preserve">Противопоказаниями являются геморрагический синдром, тромбозы. Объем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гемоэксфузии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зависит от общего состояния больного и в среднем составляет 250–500 мл через день с</w:t>
      </w:r>
      <w:r w:rsidR="00775A44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последующим восполнением объема циркулирующей крови 0,9% раствором натрия хлорида.</w:t>
      </w:r>
      <w:r w:rsidR="00775A44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 xml:space="preserve">Либо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предаварительно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провести в/в капельную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инфузию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антиагрегантов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на объеме жидкости превышающем планируемый объем кровопускания и затем осуществить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гемоэксфузию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с целью уменьшения риска тромбозов на фоне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гемоэксфузии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также можно вводить внутривенно 5000 </w:t>
      </w:r>
      <w:proofErr w:type="spellStart"/>
      <w:proofErr w:type="gramStart"/>
      <w:r w:rsidRPr="00855CA9"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гепарина. Пожилым больным с сопутствующей 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и легочной патологией кровопускания проводятся дважды в неделю (либо уменьшается объем удаляемой во время процедуры крови). Основной целью лечения является поддержание гематокрита на уровне 40– 45%. При принятии решения о сеансах кровопусканий уровень гемоглобина не учитывается.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Препараты ацетилсалициловой кислоты.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Аспирин должен быть назначен всем пациентам с ИП, при отсутствии противопоказаний. Рекомендованная доза ацетилсалициловой кислоты 40-325 мг/сут. Относительное противопоказание - тромбоцитоз &gt;1500х109/л по причине повышенного риска кровотечений. При непереносимости или наличии противопоказаний к приему ацетилсалициловой кислоты назначаются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клопидогрель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(75 </w:t>
      </w:r>
      <w:r w:rsidR="00775A44" w:rsidRPr="00855CA9">
        <w:rPr>
          <w:rFonts w:ascii="Times New Roman" w:hAnsi="Times New Roman" w:cs="Times New Roman"/>
          <w:sz w:val="28"/>
          <w:szCs w:val="28"/>
        </w:rPr>
        <w:t xml:space="preserve">мг/сут) или </w:t>
      </w:r>
      <w:proofErr w:type="spellStart"/>
      <w:r w:rsidR="00775A44" w:rsidRPr="00855CA9">
        <w:rPr>
          <w:rFonts w:ascii="Times New Roman" w:hAnsi="Times New Roman" w:cs="Times New Roman"/>
          <w:sz w:val="28"/>
          <w:szCs w:val="28"/>
        </w:rPr>
        <w:t>тиклопидин</w:t>
      </w:r>
      <w:proofErr w:type="spellEnd"/>
      <w:r w:rsidR="00775A44" w:rsidRPr="00855CA9">
        <w:rPr>
          <w:rFonts w:ascii="Times New Roman" w:hAnsi="Times New Roman" w:cs="Times New Roman"/>
          <w:sz w:val="28"/>
          <w:szCs w:val="28"/>
        </w:rPr>
        <w:t xml:space="preserve"> (500-750 </w:t>
      </w:r>
      <w:r w:rsidRPr="00855CA9">
        <w:rPr>
          <w:rFonts w:ascii="Times New Roman" w:hAnsi="Times New Roman" w:cs="Times New Roman"/>
          <w:sz w:val="28"/>
          <w:szCs w:val="28"/>
        </w:rPr>
        <w:t xml:space="preserve">мг/сут), но в настоящее время нет данных клинических исследований 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эффективности данных препаратов при ИП.</w:t>
      </w:r>
    </w:p>
    <w:p w:rsidR="00012307" w:rsidRDefault="00012307" w:rsidP="00780C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1EDB" w:rsidRPr="00855CA9" w:rsidRDefault="00AF1EDB" w:rsidP="00780CA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55CA9">
        <w:rPr>
          <w:rFonts w:ascii="Times New Roman" w:hAnsi="Times New Roman" w:cs="Times New Roman"/>
          <w:sz w:val="28"/>
          <w:szCs w:val="28"/>
        </w:rPr>
        <w:lastRenderedPageBreak/>
        <w:t>Циторедуктивная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терапия.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Гидроксимочевина</w:t>
      </w:r>
      <w:proofErr w:type="spellEnd"/>
    </w:p>
    <w:p w:rsidR="00AF1EDB" w:rsidRPr="00855CA9" w:rsidRDefault="00AF1EDB" w:rsidP="000123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Гидроксимочевина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может быть рекомендована как терапия первой линии у пациентов с ИП любого возраста [62, 63]. Однако из-за наличия да</w:t>
      </w:r>
      <w:r w:rsidR="00775A44" w:rsidRPr="00855CA9">
        <w:rPr>
          <w:rFonts w:ascii="Times New Roman" w:hAnsi="Times New Roman" w:cs="Times New Roman"/>
          <w:sz w:val="28"/>
          <w:szCs w:val="28"/>
        </w:rPr>
        <w:t xml:space="preserve">нных о </w:t>
      </w:r>
      <w:proofErr w:type="spellStart"/>
      <w:r w:rsidR="00775A44" w:rsidRPr="00855CA9">
        <w:rPr>
          <w:rFonts w:ascii="Times New Roman" w:hAnsi="Times New Roman" w:cs="Times New Roman"/>
          <w:sz w:val="28"/>
          <w:szCs w:val="28"/>
        </w:rPr>
        <w:t>лейкозогенном</w:t>
      </w:r>
      <w:proofErr w:type="spellEnd"/>
      <w:r w:rsidR="00775A44" w:rsidRPr="00855CA9">
        <w:rPr>
          <w:rFonts w:ascii="Times New Roman" w:hAnsi="Times New Roman" w:cs="Times New Roman"/>
          <w:sz w:val="28"/>
          <w:szCs w:val="28"/>
        </w:rPr>
        <w:t xml:space="preserve"> эффекте, о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генотоксичности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препарата, у молодых пациентов, а также у беременных проведение терапии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гидроксимочевиной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в первой линии лимитировано. </w:t>
      </w:r>
      <w:proofErr w:type="spellStart"/>
      <w:r w:rsidR="00012307">
        <w:rPr>
          <w:rFonts w:ascii="Times New Roman" w:hAnsi="Times New Roman" w:cs="Times New Roman"/>
          <w:sz w:val="28"/>
          <w:szCs w:val="28"/>
        </w:rPr>
        <w:t>Г</w:t>
      </w:r>
      <w:r w:rsidRPr="00855CA9">
        <w:rPr>
          <w:rFonts w:ascii="Times New Roman" w:hAnsi="Times New Roman" w:cs="Times New Roman"/>
          <w:sz w:val="28"/>
          <w:szCs w:val="28"/>
        </w:rPr>
        <w:t>идроксимочевина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рекомендуется как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циторедуктивная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терапия первой линии при ИП у пациентов &gt;50 лет.</w:t>
      </w:r>
    </w:p>
    <w:p w:rsidR="00AF1EDB" w:rsidRPr="00855CA9" w:rsidRDefault="00AF1EDB" w:rsidP="00FC4F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Резистентность / непереносимость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гидроксимочевины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при ИП в соответствии с критериями ELN констатируется при наличии [65]:</w:t>
      </w:r>
    </w:p>
    <w:p w:rsidR="00AF1EDB" w:rsidRPr="00855CA9" w:rsidRDefault="00012307" w:rsidP="00527C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Критерии резистентности/непереносимости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гидро</w:t>
      </w:r>
      <w:r w:rsidR="00775A44" w:rsidRPr="00855CA9">
        <w:rPr>
          <w:rFonts w:ascii="Times New Roman" w:hAnsi="Times New Roman" w:cs="Times New Roman"/>
          <w:sz w:val="28"/>
          <w:szCs w:val="28"/>
        </w:rPr>
        <w:t>ксимочевины</w:t>
      </w:r>
      <w:proofErr w:type="spellEnd"/>
      <w:r w:rsidR="00775A44" w:rsidRPr="00855CA9">
        <w:rPr>
          <w:rFonts w:ascii="Times New Roman" w:hAnsi="Times New Roman" w:cs="Times New Roman"/>
          <w:sz w:val="28"/>
          <w:szCs w:val="28"/>
        </w:rPr>
        <w:t xml:space="preserve"> у больных ЭТ (ELN).</w:t>
      </w:r>
    </w:p>
    <w:p w:rsidR="00735413" w:rsidRDefault="00FC4FBD" w:rsidP="00FC4FBD">
      <w:pPr>
        <w:spacing w:after="0" w:line="20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C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Таблица </w:t>
      </w:r>
      <w:r w:rsidR="00FF10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55C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2307" w:rsidRDefault="00012307" w:rsidP="00FC4FBD">
      <w:pPr>
        <w:spacing w:after="0" w:line="20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307" w:rsidRPr="00855CA9" w:rsidRDefault="00012307" w:rsidP="00FC4FBD">
      <w:pPr>
        <w:spacing w:after="0" w:line="20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0"/>
        <w:gridCol w:w="7620"/>
      </w:tblGrid>
      <w:tr w:rsidR="009E46E4" w:rsidTr="009E46E4">
        <w:trPr>
          <w:trHeight w:val="435"/>
        </w:trPr>
        <w:tc>
          <w:tcPr>
            <w:tcW w:w="1740" w:type="dxa"/>
          </w:tcPr>
          <w:p w:rsidR="009E46E4" w:rsidRDefault="009E46E4" w:rsidP="00735413">
            <w:pPr>
              <w:spacing w:after="0" w:line="375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</w:tcPr>
          <w:p w:rsidR="009E46E4" w:rsidRDefault="009E46E4" w:rsidP="00735413">
            <w:pPr>
              <w:spacing w:after="0" w:line="375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</w:rPr>
              <w:t>Определение непереносимости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резистентности к </w:t>
            </w:r>
            <w:proofErr w:type="spellStart"/>
            <w:r w:rsidRPr="00855CA9">
              <w:rPr>
                <w:rFonts w:ascii="Times New Roman" w:eastAsia="Arial" w:hAnsi="Times New Roman" w:cs="Times New Roman"/>
                <w:sz w:val="28"/>
                <w:szCs w:val="28"/>
              </w:rPr>
              <w:t>гидроксимочевине</w:t>
            </w:r>
            <w:proofErr w:type="spellEnd"/>
          </w:p>
        </w:tc>
      </w:tr>
      <w:tr w:rsidR="009E46E4" w:rsidTr="009E46E4">
        <w:trPr>
          <w:trHeight w:val="945"/>
        </w:trPr>
        <w:tc>
          <w:tcPr>
            <w:tcW w:w="1740" w:type="dxa"/>
            <w:vMerge w:val="restart"/>
          </w:tcPr>
          <w:p w:rsidR="009E46E4" w:rsidRDefault="009E46E4" w:rsidP="00735413">
            <w:pPr>
              <w:spacing w:after="0" w:line="375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</w:t>
            </w:r>
          </w:p>
        </w:tc>
        <w:tc>
          <w:tcPr>
            <w:tcW w:w="7620" w:type="dxa"/>
          </w:tcPr>
          <w:p w:rsidR="009E46E4" w:rsidRPr="009E46E4" w:rsidRDefault="009E46E4" w:rsidP="009E46E4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9E46E4">
              <w:rPr>
                <w:rFonts w:ascii="Times New Roman" w:eastAsia="Arial" w:hAnsi="Times New Roman" w:cs="Times New Roman"/>
                <w:w w:val="95"/>
                <w:sz w:val="28"/>
                <w:szCs w:val="28"/>
              </w:rPr>
              <w:t xml:space="preserve">1. Необходимость кровопусканий для поддержания гематокрита </w:t>
            </w:r>
            <w:r w:rsidRPr="009E46E4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&lt;45%</w:t>
            </w:r>
            <w:r w:rsidRPr="009E46E4">
              <w:rPr>
                <w:rFonts w:ascii="Times New Roman" w:eastAsia="Arial" w:hAnsi="Times New Roman" w:cs="Times New Roman"/>
                <w:w w:val="95"/>
                <w:sz w:val="28"/>
                <w:szCs w:val="28"/>
              </w:rPr>
              <w:t xml:space="preserve"> после </w:t>
            </w:r>
            <w:r w:rsidRPr="009E46E4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3</w:t>
            </w:r>
            <w:r w:rsidRPr="009E46E4">
              <w:rPr>
                <w:rFonts w:ascii="Times New Roman" w:eastAsia="Arial" w:hAnsi="Times New Roman" w:cs="Times New Roman"/>
                <w:w w:val="95"/>
                <w:sz w:val="28"/>
                <w:szCs w:val="28"/>
              </w:rPr>
              <w:t xml:space="preserve"> месяцев 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терапии </w:t>
            </w:r>
            <w:proofErr w:type="spellStart"/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гидроксимочевиной</w:t>
            </w:r>
            <w:proofErr w:type="spellEnd"/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2000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мг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день ИЛИ</w:t>
            </w:r>
          </w:p>
        </w:tc>
      </w:tr>
      <w:tr w:rsidR="009E46E4" w:rsidTr="009E46E4">
        <w:trPr>
          <w:trHeight w:val="1365"/>
        </w:trPr>
        <w:tc>
          <w:tcPr>
            <w:tcW w:w="1740" w:type="dxa"/>
            <w:vMerge/>
          </w:tcPr>
          <w:p w:rsidR="009E46E4" w:rsidRDefault="009E46E4" w:rsidP="00735413">
            <w:pPr>
              <w:spacing w:after="0" w:line="375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</w:tcPr>
          <w:p w:rsidR="009E46E4" w:rsidRPr="009E46E4" w:rsidRDefault="009E46E4" w:rsidP="009E46E4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9E46E4">
              <w:rPr>
                <w:rFonts w:ascii="Times New Roman" w:eastAsia="Arial" w:hAnsi="Times New Roman" w:cs="Times New Roman"/>
                <w:w w:val="95"/>
                <w:sz w:val="28"/>
                <w:szCs w:val="28"/>
              </w:rPr>
              <w:t xml:space="preserve">2. Неконтролируемая </w:t>
            </w:r>
            <w:proofErr w:type="spellStart"/>
            <w:r w:rsidRPr="009E46E4">
              <w:rPr>
                <w:rFonts w:ascii="Times New Roman" w:eastAsia="Arial" w:hAnsi="Times New Roman" w:cs="Times New Roman"/>
                <w:w w:val="95"/>
                <w:sz w:val="28"/>
                <w:szCs w:val="28"/>
              </w:rPr>
              <w:t>миелопролиферация</w:t>
            </w:r>
            <w:proofErr w:type="spellEnd"/>
            <w:r w:rsidRPr="009E46E4">
              <w:rPr>
                <w:rFonts w:ascii="Times New Roman" w:eastAsia="Arial" w:hAnsi="Times New Roman" w:cs="Times New Roman"/>
                <w:w w:val="95"/>
                <w:sz w:val="28"/>
                <w:szCs w:val="28"/>
              </w:rPr>
              <w:t xml:space="preserve"> </w:t>
            </w:r>
            <w:r w:rsidRPr="009E46E4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(</w:t>
            </w:r>
            <w:r w:rsidRPr="009E46E4">
              <w:rPr>
                <w:rFonts w:ascii="Times New Roman" w:eastAsia="Arial" w:hAnsi="Times New Roman" w:cs="Times New Roman"/>
                <w:w w:val="95"/>
                <w:sz w:val="28"/>
                <w:szCs w:val="28"/>
              </w:rPr>
              <w:t xml:space="preserve">тромбоциты </w:t>
            </w:r>
            <w:r w:rsidRPr="009E46E4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&gt;400</w:t>
            </w:r>
            <w:r w:rsidRPr="009E46E4">
              <w:rPr>
                <w:rFonts w:ascii="Times New Roman" w:eastAsia="Arial" w:hAnsi="Times New Roman" w:cs="Times New Roman"/>
                <w:w w:val="95"/>
                <w:sz w:val="28"/>
                <w:szCs w:val="28"/>
              </w:rPr>
              <w:t xml:space="preserve"> х</w:t>
            </w:r>
            <w:r w:rsidRPr="009E46E4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10</w:t>
            </w:r>
            <w:r w:rsidRPr="009E46E4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vertAlign w:val="superscript"/>
              </w:rPr>
              <w:t>9</w:t>
            </w:r>
            <w:r w:rsidRPr="009E46E4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/</w:t>
            </w:r>
            <w:r w:rsidRPr="009E46E4">
              <w:rPr>
                <w:rFonts w:ascii="Times New Roman" w:eastAsia="Arial" w:hAnsi="Times New Roman" w:cs="Times New Roman"/>
                <w:w w:val="95"/>
                <w:sz w:val="28"/>
                <w:szCs w:val="28"/>
              </w:rPr>
              <w:t>л</w:t>
            </w:r>
            <w:proofErr w:type="gramStart"/>
            <w:r w:rsidRPr="009E46E4">
              <w:rPr>
                <w:rFonts w:ascii="Times New Roman" w:eastAsia="Arial" w:hAnsi="Times New Roman" w:cs="Times New Roman"/>
                <w:w w:val="95"/>
                <w:sz w:val="28"/>
                <w:szCs w:val="28"/>
              </w:rPr>
              <w:t xml:space="preserve"> И</w:t>
            </w:r>
            <w:proofErr w:type="gramEnd"/>
            <w:r w:rsidRPr="009E46E4">
              <w:rPr>
                <w:rFonts w:ascii="Times New Roman" w:eastAsia="Arial" w:hAnsi="Times New Roman" w:cs="Times New Roman"/>
                <w:w w:val="95"/>
                <w:sz w:val="28"/>
                <w:szCs w:val="28"/>
              </w:rPr>
              <w:t xml:space="preserve"> лейкоциты </w:t>
            </w:r>
            <w:r w:rsidRPr="009E46E4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&gt;10</w:t>
            </w:r>
            <w:r w:rsidRPr="009E46E4">
              <w:rPr>
                <w:rFonts w:ascii="Times New Roman" w:eastAsia="Arial" w:hAnsi="Times New Roman" w:cs="Times New Roman"/>
                <w:w w:val="95"/>
                <w:sz w:val="28"/>
                <w:szCs w:val="28"/>
              </w:rPr>
              <w:t xml:space="preserve"> х 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9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л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после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 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месяцев терапии </w:t>
            </w:r>
            <w:proofErr w:type="spellStart"/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гидроксимочевиной</w:t>
            </w:r>
            <w:proofErr w:type="spellEnd"/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2000 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мг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день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ИЛИ</w:t>
            </w:r>
          </w:p>
        </w:tc>
      </w:tr>
      <w:tr w:rsidR="009E46E4" w:rsidTr="009E46E4">
        <w:trPr>
          <w:trHeight w:val="1710"/>
        </w:trPr>
        <w:tc>
          <w:tcPr>
            <w:tcW w:w="1740" w:type="dxa"/>
            <w:vMerge/>
          </w:tcPr>
          <w:p w:rsidR="009E46E4" w:rsidRDefault="009E46E4" w:rsidP="00735413">
            <w:pPr>
              <w:spacing w:after="0" w:line="375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</w:tcPr>
          <w:p w:rsidR="009E46E4" w:rsidRPr="009E46E4" w:rsidRDefault="009E46E4" w:rsidP="009E46E4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3. Невозможность редуцировать массивную </w:t>
            </w:r>
            <w:proofErr w:type="spellStart"/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спленомегалию</w:t>
            </w:r>
            <w:proofErr w:type="spellEnd"/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более 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см ниже  реберной дуги при пальпации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ИЛИ</w:t>
            </w:r>
          </w:p>
          <w:p w:rsidR="009E46E4" w:rsidRPr="009E46E4" w:rsidRDefault="009E46E4" w:rsidP="009E46E4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9E46E4">
              <w:rPr>
                <w:rFonts w:ascii="Times New Roman" w:eastAsia="Arial" w:hAnsi="Times New Roman" w:cs="Times New Roman"/>
                <w:w w:val="95"/>
                <w:sz w:val="28"/>
                <w:szCs w:val="28"/>
              </w:rPr>
              <w:t>Невозможность облегчить симптомы</w:t>
            </w:r>
            <w:r w:rsidRPr="009E46E4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,</w:t>
            </w:r>
            <w:r w:rsidRPr="009E46E4">
              <w:rPr>
                <w:rFonts w:ascii="Times New Roman" w:eastAsia="Arial" w:hAnsi="Times New Roman" w:cs="Times New Roman"/>
                <w:w w:val="95"/>
                <w:sz w:val="28"/>
                <w:szCs w:val="28"/>
              </w:rPr>
              <w:t xml:space="preserve"> вызванные массивной </w:t>
            </w:r>
            <w:proofErr w:type="spellStart"/>
            <w:r w:rsidRPr="009E46E4">
              <w:rPr>
                <w:rFonts w:ascii="Times New Roman" w:eastAsia="Arial" w:hAnsi="Times New Roman" w:cs="Times New Roman"/>
                <w:w w:val="95"/>
                <w:sz w:val="28"/>
                <w:szCs w:val="28"/>
              </w:rPr>
              <w:t>спленомегалией</w:t>
            </w:r>
            <w:proofErr w:type="spellEnd"/>
            <w:r w:rsidRPr="009E46E4">
              <w:rPr>
                <w:rFonts w:ascii="Times New Roman" w:eastAsia="Arial" w:hAnsi="Times New Roman" w:cs="Times New Roman"/>
                <w:w w:val="95"/>
                <w:sz w:val="28"/>
                <w:szCs w:val="28"/>
              </w:rPr>
              <w:t xml:space="preserve"> после </w:t>
            </w:r>
            <w:r w:rsidRPr="009E46E4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 xml:space="preserve">3 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месяцев терапии </w:t>
            </w:r>
            <w:proofErr w:type="spellStart"/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гидроксимочевиной</w:t>
            </w:r>
            <w:proofErr w:type="spellEnd"/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2000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мг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день ИЛИ</w:t>
            </w:r>
          </w:p>
        </w:tc>
      </w:tr>
      <w:tr w:rsidR="009E46E4" w:rsidTr="009E46E4">
        <w:trPr>
          <w:trHeight w:val="1740"/>
        </w:trPr>
        <w:tc>
          <w:tcPr>
            <w:tcW w:w="1740" w:type="dxa"/>
            <w:vMerge/>
          </w:tcPr>
          <w:p w:rsidR="009E46E4" w:rsidRDefault="009E46E4" w:rsidP="00735413">
            <w:pPr>
              <w:spacing w:after="0" w:line="375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</w:tcPr>
          <w:p w:rsidR="009E46E4" w:rsidRPr="009E46E4" w:rsidRDefault="009E46E4" w:rsidP="009E46E4">
            <w:pPr>
              <w:tabs>
                <w:tab w:val="left" w:pos="1743"/>
              </w:tabs>
              <w:ind w:right="680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4. АЧН 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&lt;1,0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х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9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л или тромбоциты 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&lt;100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х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9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л или гемоглобин 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&lt;10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х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9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л при минимальной дозе </w:t>
            </w:r>
            <w:proofErr w:type="spellStart"/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гидроксимочевины</w:t>
            </w:r>
            <w:proofErr w:type="spellEnd"/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необходимой для достижения полного или частичного ответа ИЛИ</w:t>
            </w:r>
          </w:p>
        </w:tc>
      </w:tr>
      <w:tr w:rsidR="009E46E4" w:rsidTr="009E46E4">
        <w:trPr>
          <w:trHeight w:val="1665"/>
        </w:trPr>
        <w:tc>
          <w:tcPr>
            <w:tcW w:w="1740" w:type="dxa"/>
            <w:vMerge/>
          </w:tcPr>
          <w:p w:rsidR="009E46E4" w:rsidRDefault="009E46E4" w:rsidP="00735413">
            <w:pPr>
              <w:spacing w:after="0" w:line="375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</w:tcPr>
          <w:p w:rsidR="009E46E4" w:rsidRPr="009E46E4" w:rsidRDefault="009E46E4" w:rsidP="009E46E4">
            <w:pPr>
              <w:tabs>
                <w:tab w:val="left" w:pos="1760"/>
              </w:tabs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5. Язвы на голенях или другая токсичность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опосредованная </w:t>
            </w:r>
            <w:proofErr w:type="spellStart"/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гидроксимочевиной</w:t>
            </w:r>
            <w:proofErr w:type="spellEnd"/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изменения со стороны кожи и слизистых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гастроинтестинальные симптомы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пневмонит</w:t>
            </w:r>
            <w:proofErr w:type="spellEnd"/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лихорадка</w:t>
            </w:r>
            <w:r w:rsidRPr="009E46E4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при любой дозе </w:t>
            </w:r>
            <w:proofErr w:type="spellStart"/>
            <w:r w:rsidRPr="009E46E4">
              <w:rPr>
                <w:rFonts w:ascii="Times New Roman" w:eastAsia="Arial" w:hAnsi="Times New Roman" w:cs="Times New Roman"/>
                <w:sz w:val="28"/>
                <w:szCs w:val="28"/>
              </w:rPr>
              <w:t>гидроксимочевины</w:t>
            </w:r>
            <w:proofErr w:type="spellEnd"/>
          </w:p>
        </w:tc>
      </w:tr>
    </w:tbl>
    <w:p w:rsidR="00735413" w:rsidRPr="00855CA9" w:rsidRDefault="00735413" w:rsidP="00735413">
      <w:pPr>
        <w:spacing w:after="0" w:line="37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Интерферон-альфа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Препараты ИФН-альфа являются эффективным средством терапии ИП, поскольку при лечении ИФН-альфа у части больных может быть получен мо</w:t>
      </w:r>
      <w:r w:rsidR="00405646">
        <w:rPr>
          <w:rFonts w:ascii="Times New Roman" w:hAnsi="Times New Roman" w:cs="Times New Roman"/>
          <w:sz w:val="28"/>
          <w:szCs w:val="28"/>
        </w:rPr>
        <w:t>лекулярный ответ [24, 25</w:t>
      </w:r>
      <w:proofErr w:type="gramStart"/>
      <w:r w:rsidR="00405646">
        <w:rPr>
          <w:rFonts w:ascii="Times New Roman" w:hAnsi="Times New Roman" w:cs="Times New Roman"/>
          <w:sz w:val="28"/>
          <w:szCs w:val="28"/>
        </w:rPr>
        <w:t xml:space="preserve"> </w:t>
      </w:r>
      <w:r w:rsidR="00775A44" w:rsidRPr="00855CA9">
        <w:rPr>
          <w:rFonts w:ascii="Times New Roman" w:hAnsi="Times New Roman" w:cs="Times New Roman"/>
          <w:sz w:val="28"/>
          <w:szCs w:val="28"/>
        </w:rPr>
        <w:t>]</w:t>
      </w:r>
      <w:proofErr w:type="gramEnd"/>
      <w:r w:rsidR="00775A44" w:rsidRPr="00855CA9">
        <w:rPr>
          <w:rFonts w:ascii="Times New Roman" w:hAnsi="Times New Roman" w:cs="Times New Roman"/>
          <w:sz w:val="28"/>
          <w:szCs w:val="28"/>
        </w:rPr>
        <w:t>. ИФН-</w:t>
      </w:r>
      <w:r w:rsidRPr="00855CA9">
        <w:rPr>
          <w:rFonts w:ascii="Times New Roman" w:hAnsi="Times New Roman" w:cs="Times New Roman"/>
          <w:sz w:val="28"/>
          <w:szCs w:val="28"/>
        </w:rPr>
        <w:t>альфа является эффективным средством против зуда, вызванного ИП. Однако широкое применение ИФН-альфа ограничивается плохой переносимостью.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ИФН-альфа являются предпочтительным в первой линии для лечения ИП у молодых пациентов (&lt;50 лет) и хорошо переносится этими пациентами.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Терапию ИФН-альфа можно проводить в группе больных старше 50 лет при удовлетворительной переносимости.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ИФН-альфа назначают по 3 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МЕ подкожно, через день, длительно.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Бусульфан</w:t>
      </w:r>
      <w:proofErr w:type="spellEnd"/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Бусульфан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алкилирующим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агентом, применение которого позволяет эффективно контролировать ИП. Однако длительный прием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бусульфана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повышает риск прогрессирования заболевания с исходо</w:t>
      </w:r>
      <w:r w:rsidR="00405646">
        <w:rPr>
          <w:rFonts w:ascii="Times New Roman" w:hAnsi="Times New Roman" w:cs="Times New Roman"/>
          <w:sz w:val="28"/>
          <w:szCs w:val="28"/>
        </w:rPr>
        <w:t>м во вторичный острый лейкоз</w:t>
      </w:r>
      <w:r w:rsidRPr="00855CA9">
        <w:rPr>
          <w:rFonts w:ascii="Times New Roman" w:hAnsi="Times New Roman" w:cs="Times New Roman"/>
          <w:sz w:val="28"/>
          <w:szCs w:val="28"/>
        </w:rPr>
        <w:t>.</w:t>
      </w:r>
    </w:p>
    <w:p w:rsidR="00735413" w:rsidRPr="00855CA9" w:rsidRDefault="009E46E4" w:rsidP="009E46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="00AF1EDB" w:rsidRPr="00855CA9">
        <w:rPr>
          <w:rFonts w:ascii="Times New Roman" w:hAnsi="Times New Roman" w:cs="Times New Roman"/>
          <w:sz w:val="28"/>
          <w:szCs w:val="28"/>
        </w:rPr>
        <w:t>усульфан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следует назначать пациентам старше 70 лет, которые не переносят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гидроксимочевину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>, ИФН-альфа. Препарат назначают по 2-4 мг ежед</w:t>
      </w:r>
      <w:r>
        <w:rPr>
          <w:rFonts w:ascii="Times New Roman" w:hAnsi="Times New Roman" w:cs="Times New Roman"/>
          <w:sz w:val="28"/>
          <w:szCs w:val="28"/>
        </w:rPr>
        <w:t>невно до суммарной дозы 200 мг.</w:t>
      </w:r>
    </w:p>
    <w:tbl>
      <w:tblPr>
        <w:tblW w:w="98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0"/>
        <w:gridCol w:w="220"/>
        <w:gridCol w:w="7500"/>
        <w:gridCol w:w="160"/>
      </w:tblGrid>
      <w:tr w:rsidR="00527C0A" w:rsidRPr="00855CA9" w:rsidTr="00527C0A">
        <w:trPr>
          <w:trHeight w:val="265"/>
        </w:trPr>
        <w:tc>
          <w:tcPr>
            <w:tcW w:w="1920" w:type="dxa"/>
            <w:shd w:val="clear" w:color="auto" w:fill="auto"/>
            <w:vAlign w:val="bottom"/>
          </w:tcPr>
          <w:p w:rsidR="00527C0A" w:rsidRPr="00855CA9" w:rsidRDefault="00527C0A" w:rsidP="007354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27C0A" w:rsidRPr="00855CA9" w:rsidRDefault="00527C0A" w:rsidP="007354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  <w:gridSpan w:val="2"/>
            <w:shd w:val="clear" w:color="auto" w:fill="auto"/>
            <w:vAlign w:val="bottom"/>
          </w:tcPr>
          <w:p w:rsidR="009E46E4" w:rsidRDefault="009E46E4" w:rsidP="00527C0A">
            <w:pPr>
              <w:spacing w:after="0" w:line="264" w:lineRule="exact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  <w:p w:rsidR="009E46E4" w:rsidRDefault="009E46E4" w:rsidP="00527C0A">
            <w:pPr>
              <w:spacing w:after="0" w:line="264" w:lineRule="exact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  <w:p w:rsidR="009E46E4" w:rsidRDefault="009E46E4" w:rsidP="00527C0A">
            <w:pPr>
              <w:spacing w:after="0" w:line="264" w:lineRule="exact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  <w:p w:rsidR="009E46E4" w:rsidRDefault="009E46E4" w:rsidP="00527C0A">
            <w:pPr>
              <w:spacing w:after="0" w:line="264" w:lineRule="exact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  <w:p w:rsidR="009E46E4" w:rsidRDefault="009E46E4" w:rsidP="00527C0A">
            <w:pPr>
              <w:spacing w:after="0" w:line="264" w:lineRule="exact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  <w:p w:rsidR="009E46E4" w:rsidRDefault="009E46E4" w:rsidP="00527C0A">
            <w:pPr>
              <w:spacing w:after="0" w:line="264" w:lineRule="exact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  <w:p w:rsidR="009E46E4" w:rsidRDefault="009E46E4" w:rsidP="00527C0A">
            <w:pPr>
              <w:spacing w:after="0" w:line="264" w:lineRule="exact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  <w:p w:rsidR="009E46E4" w:rsidRDefault="009E46E4" w:rsidP="00527C0A">
            <w:pPr>
              <w:spacing w:after="0" w:line="264" w:lineRule="exact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  <w:p w:rsidR="009E46E4" w:rsidRDefault="009E46E4" w:rsidP="00527C0A">
            <w:pPr>
              <w:spacing w:after="0" w:line="264" w:lineRule="exact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  <w:p w:rsidR="009E46E4" w:rsidRDefault="009E46E4" w:rsidP="00527C0A">
            <w:pPr>
              <w:spacing w:after="0" w:line="264" w:lineRule="exact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  <w:p w:rsidR="009E46E4" w:rsidRDefault="009E46E4" w:rsidP="00527C0A">
            <w:pPr>
              <w:spacing w:after="0" w:line="264" w:lineRule="exact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  <w:p w:rsidR="009E46E4" w:rsidRDefault="009E46E4" w:rsidP="00527C0A">
            <w:pPr>
              <w:spacing w:after="0" w:line="264" w:lineRule="exact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  <w:p w:rsidR="009E46E4" w:rsidRDefault="009E46E4" w:rsidP="00527C0A">
            <w:pPr>
              <w:spacing w:after="0" w:line="264" w:lineRule="exact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  <w:p w:rsidR="009E46E4" w:rsidRDefault="009E46E4" w:rsidP="00527C0A">
            <w:pPr>
              <w:spacing w:after="0" w:line="264" w:lineRule="exact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  <w:p w:rsidR="00527C0A" w:rsidRPr="00855CA9" w:rsidRDefault="00527C0A" w:rsidP="00527C0A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Таблица </w:t>
            </w:r>
            <w:r w:rsidR="00FF1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27C0A" w:rsidRPr="00855CA9" w:rsidTr="00527C0A">
        <w:trPr>
          <w:trHeight w:val="307"/>
        </w:trPr>
        <w:tc>
          <w:tcPr>
            <w:tcW w:w="1920" w:type="dxa"/>
            <w:shd w:val="clear" w:color="auto" w:fill="auto"/>
            <w:vAlign w:val="bottom"/>
          </w:tcPr>
          <w:p w:rsidR="00527C0A" w:rsidRPr="00855CA9" w:rsidRDefault="00527C0A" w:rsidP="007354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27C0A" w:rsidRPr="00855CA9" w:rsidRDefault="00527C0A" w:rsidP="007354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  <w:gridSpan w:val="2"/>
            <w:shd w:val="clear" w:color="auto" w:fill="auto"/>
            <w:vAlign w:val="bottom"/>
          </w:tcPr>
          <w:p w:rsidR="00527C0A" w:rsidRPr="00855CA9" w:rsidRDefault="00527C0A" w:rsidP="00735413">
            <w:pPr>
              <w:spacing w:after="0" w:line="264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Критерии клинико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гематологического ответа при лечении ИП </w:t>
            </w:r>
            <w:r w:rsidR="004056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[26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].</w:t>
            </w:r>
          </w:p>
        </w:tc>
      </w:tr>
      <w:tr w:rsidR="00527C0A" w:rsidRPr="00855CA9" w:rsidTr="00AA0337">
        <w:trPr>
          <w:trHeight w:val="46"/>
        </w:trPr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7C0A" w:rsidRPr="00855CA9" w:rsidRDefault="00527C0A" w:rsidP="007354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7C0A" w:rsidRPr="00855CA9" w:rsidRDefault="00527C0A" w:rsidP="007354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7C0A" w:rsidRPr="00855CA9" w:rsidRDefault="00527C0A" w:rsidP="007354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2FC8" w:rsidRPr="00855CA9" w:rsidTr="00AA0337">
        <w:trPr>
          <w:gridAfter w:val="1"/>
          <w:wAfter w:w="160" w:type="dxa"/>
          <w:trHeight w:val="253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2FC8" w:rsidRPr="00855CA9" w:rsidRDefault="00762FC8" w:rsidP="00735413">
            <w:pPr>
              <w:spacing w:after="0" w:line="252" w:lineRule="exact"/>
              <w:ind w:left="10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77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2FC8" w:rsidRPr="00855CA9" w:rsidRDefault="00762FC8" w:rsidP="00735413">
            <w:pPr>
              <w:spacing w:after="0" w:line="252" w:lineRule="exact"/>
              <w:ind w:left="8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Критерии ответа при ИП</w:t>
            </w:r>
          </w:p>
        </w:tc>
      </w:tr>
      <w:tr w:rsidR="00762FC8" w:rsidRPr="00855CA9" w:rsidTr="00762FC8">
        <w:trPr>
          <w:gridAfter w:val="1"/>
          <w:wAfter w:w="160" w:type="dxa"/>
          <w:trHeight w:val="500"/>
        </w:trPr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62FC8" w:rsidRPr="00855CA9" w:rsidRDefault="00762FC8" w:rsidP="00762FC8">
            <w:pPr>
              <w:spacing w:after="0" w:line="250" w:lineRule="exact"/>
              <w:ind w:left="10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Полный ответ</w:t>
            </w:r>
          </w:p>
          <w:p w:rsidR="00762FC8" w:rsidRPr="00855CA9" w:rsidRDefault="00762FC8" w:rsidP="00762FC8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ответ в течение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</w:t>
            </w:r>
            <w:proofErr w:type="gramEnd"/>
          </w:p>
          <w:p w:rsidR="00762FC8" w:rsidRPr="00855CA9" w:rsidRDefault="00762FC8" w:rsidP="00762FC8">
            <w:pPr>
              <w:spacing w:after="0" w:line="193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недель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FC8" w:rsidRPr="00855CA9" w:rsidRDefault="00762FC8" w:rsidP="00762FC8">
            <w:pPr>
              <w:spacing w:after="0" w:line="250" w:lineRule="exac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Гематокрит 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&lt;45%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без кровопусканий</w:t>
            </w:r>
          </w:p>
        </w:tc>
      </w:tr>
      <w:tr w:rsidR="00762FC8" w:rsidRPr="00855CA9" w:rsidTr="00762FC8">
        <w:trPr>
          <w:gridAfter w:val="1"/>
          <w:wAfter w:w="160" w:type="dxa"/>
          <w:trHeight w:val="644"/>
        </w:trPr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FC8" w:rsidRPr="00855CA9" w:rsidRDefault="00762FC8" w:rsidP="00762FC8">
            <w:pPr>
              <w:spacing w:after="0" w:line="193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FC8" w:rsidRPr="00855CA9" w:rsidRDefault="00762FC8" w:rsidP="00762FC8">
            <w:pPr>
              <w:spacing w:after="0" w:line="215" w:lineRule="exac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Тромбоциты ≤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х 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9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л</w:t>
            </w:r>
          </w:p>
        </w:tc>
      </w:tr>
      <w:tr w:rsidR="00762FC8" w:rsidRPr="00855CA9" w:rsidTr="00762FC8">
        <w:trPr>
          <w:gridAfter w:val="1"/>
          <w:wAfter w:w="160" w:type="dxa"/>
          <w:trHeight w:val="657"/>
        </w:trPr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FC8" w:rsidRPr="00855CA9" w:rsidRDefault="00762FC8" w:rsidP="00762FC8">
            <w:pPr>
              <w:spacing w:after="0" w:line="193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FC8" w:rsidRPr="00855CA9" w:rsidRDefault="00762FC8" w:rsidP="00762FC8">
            <w:pPr>
              <w:spacing w:after="0" w:line="259" w:lineRule="exac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Лейкоциты ≤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х 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9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л</w:t>
            </w:r>
          </w:p>
        </w:tc>
      </w:tr>
      <w:tr w:rsidR="00762FC8" w:rsidRPr="00855CA9" w:rsidTr="00762FC8">
        <w:trPr>
          <w:gridAfter w:val="1"/>
          <w:wAfter w:w="160" w:type="dxa"/>
          <w:trHeight w:val="500"/>
        </w:trPr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FC8" w:rsidRPr="00855CA9" w:rsidRDefault="00762FC8" w:rsidP="00762FC8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FC8" w:rsidRPr="00855CA9" w:rsidRDefault="00762FC8" w:rsidP="00762FC8">
            <w:pPr>
              <w:spacing w:after="0" w:line="250" w:lineRule="exac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Нормальные размеры селезенки 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УЗИ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КТ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МРТ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762FC8" w:rsidRPr="00855CA9" w:rsidTr="00762FC8">
        <w:trPr>
          <w:gridAfter w:val="1"/>
          <w:wAfter w:w="160" w:type="dxa"/>
          <w:trHeight w:val="756"/>
        </w:trPr>
        <w:tc>
          <w:tcPr>
            <w:tcW w:w="192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62FC8" w:rsidRPr="00855CA9" w:rsidRDefault="00762FC8" w:rsidP="00762FC8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FC8" w:rsidRPr="00855CA9" w:rsidRDefault="00762FC8" w:rsidP="00762FC8">
            <w:pPr>
              <w:spacing w:after="0" w:line="252" w:lineRule="exact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5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Нет симптомов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опосредованных заболевание</w:t>
            </w:r>
            <w:proofErr w:type="gramStart"/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м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микрососудистые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нарушения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зуд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головная боль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762FC8" w:rsidRPr="00855CA9" w:rsidTr="00762FC8">
        <w:trPr>
          <w:gridAfter w:val="1"/>
          <w:wAfter w:w="160" w:type="dxa"/>
          <w:trHeight w:val="254"/>
        </w:trPr>
        <w:tc>
          <w:tcPr>
            <w:tcW w:w="96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FC8" w:rsidRPr="00855CA9" w:rsidRDefault="00762FC8" w:rsidP="00762FC8">
            <w:pPr>
              <w:spacing w:after="0" w:line="253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Констатация полной ремиссии возможна только при наличии всех 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критериев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62FC8" w:rsidRPr="00855CA9" w:rsidTr="00762FC8">
        <w:trPr>
          <w:gridAfter w:val="1"/>
          <w:wAfter w:w="160" w:type="dxa"/>
          <w:trHeight w:val="1331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FC8" w:rsidRPr="00855CA9" w:rsidRDefault="00762FC8" w:rsidP="00762FC8">
            <w:pPr>
              <w:spacing w:after="0" w:line="255" w:lineRule="exact"/>
              <w:ind w:left="10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Частичный</w:t>
            </w:r>
          </w:p>
          <w:p w:rsidR="00762FC8" w:rsidRPr="00855CA9" w:rsidRDefault="00762FC8" w:rsidP="00762FC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ответ 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ответ в</w:t>
            </w:r>
            <w:proofErr w:type="gramEnd"/>
          </w:p>
          <w:p w:rsidR="00762FC8" w:rsidRPr="00855CA9" w:rsidRDefault="00762FC8" w:rsidP="00762FC8">
            <w:pPr>
              <w:spacing w:after="0" w:line="207" w:lineRule="exact"/>
              <w:ind w:left="10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течение 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недель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FC8" w:rsidRPr="00855CA9" w:rsidRDefault="00762FC8" w:rsidP="00762FC8">
            <w:pPr>
              <w:spacing w:after="0" w:line="255" w:lineRule="exact"/>
              <w:ind w:left="8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Гематокрит 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&lt;45%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без кровопусканий</w:t>
            </w:r>
          </w:p>
          <w:p w:rsidR="00762FC8" w:rsidRPr="00855CA9" w:rsidRDefault="00762FC8" w:rsidP="00762FC8">
            <w:pPr>
              <w:spacing w:after="0" w:line="0" w:lineRule="atLeast"/>
              <w:ind w:left="8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ИЛИ</w:t>
            </w:r>
          </w:p>
          <w:p w:rsidR="00762FC8" w:rsidRPr="00855CA9" w:rsidRDefault="00762FC8" w:rsidP="00762FC8">
            <w:pPr>
              <w:spacing w:after="0" w:line="250" w:lineRule="exact"/>
              <w:ind w:left="8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Ответ по всем другим критериям</w:t>
            </w:r>
          </w:p>
        </w:tc>
      </w:tr>
      <w:tr w:rsidR="00762FC8" w:rsidRPr="00855CA9" w:rsidTr="00762FC8">
        <w:trPr>
          <w:gridAfter w:val="1"/>
          <w:wAfter w:w="160" w:type="dxa"/>
          <w:trHeight w:val="935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FC8" w:rsidRPr="00855CA9" w:rsidRDefault="00762FC8" w:rsidP="00762FC8">
            <w:pPr>
              <w:spacing w:after="0" w:line="250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Нет ответа</w:t>
            </w:r>
          </w:p>
        </w:tc>
        <w:tc>
          <w:tcPr>
            <w:tcW w:w="77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FC8" w:rsidRPr="00855CA9" w:rsidRDefault="00762FC8" w:rsidP="00762FC8">
            <w:pPr>
              <w:spacing w:after="0" w:line="250" w:lineRule="exac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Любой ответ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который не удовлетворяет критериям частичного ответа</w:t>
            </w:r>
          </w:p>
        </w:tc>
      </w:tr>
    </w:tbl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Тактика  ведения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пациентов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в  настоящее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 xml:space="preserve">время 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 зависит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="00634593" w:rsidRPr="00855CA9">
        <w:rPr>
          <w:rFonts w:ascii="Times New Roman" w:hAnsi="Times New Roman" w:cs="Times New Roman"/>
          <w:sz w:val="28"/>
          <w:szCs w:val="28"/>
        </w:rPr>
        <w:t>только  от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="00634593" w:rsidRPr="00855CA9">
        <w:rPr>
          <w:rFonts w:ascii="Times New Roman" w:hAnsi="Times New Roman" w:cs="Times New Roman"/>
          <w:sz w:val="28"/>
          <w:szCs w:val="28"/>
        </w:rPr>
        <w:t>клинико-</w:t>
      </w:r>
      <w:r w:rsidRPr="00855CA9">
        <w:rPr>
          <w:rFonts w:ascii="Times New Roman" w:hAnsi="Times New Roman" w:cs="Times New Roman"/>
          <w:sz w:val="28"/>
          <w:szCs w:val="28"/>
        </w:rPr>
        <w:t xml:space="preserve">гематологического ответа на терапию. При длительной (вероятно не менее 2-х лет) гематологической и/или молекулярной ремиссии возможны попытки снижения дозы или отмены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циторедуктивной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терапии.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Обязательными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для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мониторинга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эффективности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терапии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являются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 xml:space="preserve">клинико-гематологические показатели (динамика системных проявлений заболевания, показатели периферической крови,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пальпаторная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оценка размеров селезенки и печени).</w:t>
      </w:r>
    </w:p>
    <w:p w:rsidR="00AF1EDB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46E4" w:rsidRDefault="009E46E4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46E4" w:rsidRDefault="009E46E4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46E4" w:rsidRPr="00855CA9" w:rsidRDefault="009E46E4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1EDB" w:rsidRPr="00855CA9" w:rsidRDefault="00FF1009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Таблица 4</w:t>
      </w:r>
      <w:r w:rsidR="00AF1EDB" w:rsidRPr="00855CA9">
        <w:rPr>
          <w:rFonts w:ascii="Times New Roman" w:hAnsi="Times New Roman" w:cs="Times New Roman"/>
          <w:sz w:val="28"/>
          <w:szCs w:val="28"/>
        </w:rPr>
        <w:t>.</w:t>
      </w:r>
    </w:p>
    <w:p w:rsidR="00AF1EDB" w:rsidRPr="00855CA9" w:rsidRDefault="00FB7068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Частота динамического обследования больных ИП </w:t>
      </w:r>
    </w:p>
    <w:tbl>
      <w:tblPr>
        <w:tblW w:w="96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0"/>
        <w:gridCol w:w="5760"/>
      </w:tblGrid>
      <w:tr w:rsidR="00735413" w:rsidRPr="00855CA9" w:rsidTr="00FE258F">
        <w:trPr>
          <w:trHeight w:val="275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5413" w:rsidRPr="00855CA9" w:rsidRDefault="00735413" w:rsidP="00735413">
            <w:pPr>
              <w:spacing w:after="0" w:line="263" w:lineRule="exact"/>
              <w:ind w:left="122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Исследование</w:t>
            </w:r>
          </w:p>
        </w:tc>
        <w:tc>
          <w:tcPr>
            <w:tcW w:w="57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5413" w:rsidRPr="00855CA9" w:rsidRDefault="00735413" w:rsidP="00735413">
            <w:pPr>
              <w:spacing w:after="0" w:line="263" w:lineRule="exact"/>
              <w:ind w:left="166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Периодичность мониторинга</w:t>
            </w:r>
          </w:p>
        </w:tc>
      </w:tr>
      <w:tr w:rsidR="00FE258F" w:rsidRPr="00855CA9" w:rsidTr="00F55644">
        <w:trPr>
          <w:trHeight w:val="1178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258F" w:rsidRPr="00855CA9" w:rsidRDefault="00FE258F" w:rsidP="00F55644">
            <w:pPr>
              <w:spacing w:after="0" w:line="254" w:lineRule="exact"/>
              <w:ind w:left="120"/>
              <w:rPr>
                <w:rFonts w:ascii="Times New Roman" w:eastAsia="Arial" w:hAnsi="Times New Roman" w:cs="Times New Roman"/>
                <w:w w:val="97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w w:val="97"/>
                <w:sz w:val="28"/>
                <w:szCs w:val="28"/>
                <w:lang w:eastAsia="ru-RU"/>
              </w:rPr>
              <w:t xml:space="preserve">Общий </w:t>
            </w:r>
            <w:r w:rsidRPr="00855CA9"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eastAsia="ru-RU"/>
              </w:rPr>
              <w:t>(</w:t>
            </w:r>
            <w:r w:rsidRPr="00855CA9">
              <w:rPr>
                <w:rFonts w:ascii="Times New Roman" w:eastAsia="Arial" w:hAnsi="Times New Roman" w:cs="Times New Roman"/>
                <w:w w:val="97"/>
                <w:sz w:val="28"/>
                <w:szCs w:val="28"/>
                <w:lang w:eastAsia="ru-RU"/>
              </w:rPr>
              <w:t>клинический</w:t>
            </w:r>
            <w:r w:rsidRPr="00855CA9"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eastAsia="ru-RU"/>
              </w:rPr>
              <w:t>)</w:t>
            </w:r>
            <w:r w:rsidRPr="00855CA9">
              <w:rPr>
                <w:rFonts w:ascii="Times New Roman" w:eastAsia="Arial" w:hAnsi="Times New Roman" w:cs="Times New Roman"/>
                <w:w w:val="97"/>
                <w:sz w:val="28"/>
                <w:szCs w:val="28"/>
                <w:lang w:eastAsia="ru-RU"/>
              </w:rPr>
              <w:t xml:space="preserve"> анализ крови</w:t>
            </w:r>
            <w:r>
              <w:rPr>
                <w:rFonts w:ascii="Times New Roman" w:eastAsia="Arial" w:hAnsi="Times New Roman" w:cs="Times New Roman"/>
                <w:w w:val="97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с определением гематокрита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w w:val="95"/>
                <w:sz w:val="28"/>
                <w:szCs w:val="28"/>
                <w:lang w:eastAsia="ru-RU"/>
              </w:rPr>
              <w:t>подсчетом лейкоцитарной формулы</w:t>
            </w:r>
          </w:p>
        </w:tc>
        <w:tc>
          <w:tcPr>
            <w:tcW w:w="57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258F" w:rsidRPr="00855CA9" w:rsidRDefault="00FE258F" w:rsidP="00F55644">
            <w:pPr>
              <w:spacing w:after="0" w:line="254" w:lineRule="exact"/>
              <w:ind w:left="10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На момент установления диагноза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затем не реже 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w w:val="95"/>
                <w:sz w:val="28"/>
                <w:szCs w:val="28"/>
                <w:lang w:eastAsia="ru-RU"/>
              </w:rPr>
              <w:t xml:space="preserve">раза в три месяца или чаще в </w:t>
            </w:r>
            <w:r>
              <w:rPr>
                <w:rFonts w:ascii="Times New Roman" w:eastAsia="Arial" w:hAnsi="Times New Roman" w:cs="Times New Roman"/>
                <w:w w:val="95"/>
                <w:sz w:val="28"/>
                <w:szCs w:val="28"/>
                <w:lang w:eastAsia="ru-RU"/>
              </w:rPr>
              <w:t>с</w:t>
            </w:r>
            <w:r w:rsidRPr="00855CA9">
              <w:rPr>
                <w:rFonts w:ascii="Times New Roman" w:eastAsia="Arial" w:hAnsi="Times New Roman" w:cs="Times New Roman"/>
                <w:w w:val="95"/>
                <w:sz w:val="28"/>
                <w:szCs w:val="28"/>
                <w:lang w:eastAsia="ru-RU"/>
              </w:rPr>
              <w:t>оответствии с уровнем</w:t>
            </w:r>
            <w:r>
              <w:rPr>
                <w:rFonts w:ascii="Times New Roman" w:eastAsia="Arial" w:hAnsi="Times New Roman" w:cs="Times New Roman"/>
                <w:w w:val="95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тромбоцитов</w:t>
            </w:r>
          </w:p>
        </w:tc>
      </w:tr>
      <w:tr w:rsidR="00FE258F" w:rsidRPr="00855CA9" w:rsidTr="00F55644">
        <w:trPr>
          <w:trHeight w:val="870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258F" w:rsidRPr="00855CA9" w:rsidRDefault="00FE258F" w:rsidP="00F55644">
            <w:pPr>
              <w:spacing w:after="0" w:line="251" w:lineRule="exact"/>
              <w:ind w:left="12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Биохимические показатели</w:t>
            </w:r>
          </w:p>
          <w:p w:rsidR="00FE258F" w:rsidRPr="00855CA9" w:rsidRDefault="00FE258F" w:rsidP="00F55644">
            <w:pPr>
              <w:spacing w:after="0" w:line="218" w:lineRule="exact"/>
              <w:ind w:left="120"/>
              <w:rPr>
                <w:rFonts w:ascii="Times New Roman" w:eastAsia="Arial" w:hAnsi="Times New Roman" w:cs="Times New Roman"/>
                <w:w w:val="97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билирубин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АСТ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АЛТ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ЛДГ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мочевая кислота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7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258F" w:rsidRPr="00855CA9" w:rsidRDefault="00FE258F" w:rsidP="00F55644">
            <w:pPr>
              <w:spacing w:after="0" w:line="264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На момент установления диагноза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затем не реже 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раза в три месяца при </w:t>
            </w:r>
            <w:proofErr w:type="spellStart"/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циторедуктивной</w:t>
            </w:r>
            <w:proofErr w:type="spellEnd"/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терапии</w:t>
            </w:r>
          </w:p>
        </w:tc>
      </w:tr>
      <w:tr w:rsidR="00FE258F" w:rsidRPr="00855CA9" w:rsidTr="00F55644">
        <w:trPr>
          <w:trHeight w:val="830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258F" w:rsidRPr="00855CA9" w:rsidRDefault="00FE258F" w:rsidP="00F55644">
            <w:pPr>
              <w:spacing w:after="0" w:line="256" w:lineRule="exact"/>
              <w:ind w:left="12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Коагулограмма</w:t>
            </w:r>
            <w:proofErr w:type="spellEnd"/>
          </w:p>
          <w:p w:rsidR="00FE258F" w:rsidRPr="00855CA9" w:rsidRDefault="00FE258F" w:rsidP="00F55644">
            <w:pPr>
              <w:spacing w:after="0" w:line="264" w:lineRule="exact"/>
              <w:ind w:left="12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АПТВ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ТВ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МНО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фибриноген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7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258F" w:rsidRPr="00855CA9" w:rsidRDefault="00FE258F" w:rsidP="00F55644">
            <w:pPr>
              <w:spacing w:after="0" w:line="256" w:lineRule="exact"/>
              <w:ind w:left="10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На момент установления диагноза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при наличии</w:t>
            </w:r>
            <w:r w:rsidR="00F55644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тромбозов и терапии антикоагулянтами раз в 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1-3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месяца</w:t>
            </w:r>
          </w:p>
        </w:tc>
      </w:tr>
      <w:tr w:rsidR="00FE258F" w:rsidRPr="00855CA9" w:rsidTr="00F55644">
        <w:trPr>
          <w:trHeight w:val="1202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258F" w:rsidRPr="00855CA9" w:rsidRDefault="00FE258F" w:rsidP="00F55644">
            <w:pPr>
              <w:spacing w:after="0" w:line="256" w:lineRule="exact"/>
              <w:ind w:left="12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УЗИ брюшной полости </w:t>
            </w:r>
            <w:proofErr w:type="gramStart"/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  <w:p w:rsidR="00FE258F" w:rsidRPr="00855CA9" w:rsidRDefault="00FE258F" w:rsidP="00F55644">
            <w:pPr>
              <w:spacing w:after="0" w:line="0" w:lineRule="atLeast"/>
              <w:ind w:left="12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определением размеров печени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556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селезенки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оценкой портального</w:t>
            </w:r>
            <w:r w:rsidR="00F55644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кровотока</w:t>
            </w:r>
          </w:p>
        </w:tc>
        <w:tc>
          <w:tcPr>
            <w:tcW w:w="57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258F" w:rsidRPr="00855CA9" w:rsidRDefault="00FE258F" w:rsidP="00F55644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На момент установления диагноза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затем не реже 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раза в год</w:t>
            </w:r>
          </w:p>
        </w:tc>
      </w:tr>
      <w:tr w:rsidR="00FE258F" w:rsidRPr="00855CA9" w:rsidTr="00F55644">
        <w:trPr>
          <w:trHeight w:val="2717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258F" w:rsidRPr="00855CA9" w:rsidRDefault="00FE258F" w:rsidP="00F55644">
            <w:pPr>
              <w:spacing w:after="0" w:line="251" w:lineRule="exact"/>
              <w:ind w:left="12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Стернальная пункция с подсчетом</w:t>
            </w:r>
            <w:r w:rsidR="00F55644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миелограммы</w:t>
            </w:r>
            <w:proofErr w:type="spellEnd"/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и цитогенетическим</w:t>
            </w:r>
            <w:r w:rsidR="00F55644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исследованием</w:t>
            </w:r>
          </w:p>
          <w:p w:rsidR="00FE258F" w:rsidRPr="00855CA9" w:rsidRDefault="00FE258F" w:rsidP="00F55644">
            <w:pPr>
              <w:spacing w:after="0" w:line="0" w:lineRule="atLeast"/>
              <w:ind w:left="12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Трепанобиопсия</w:t>
            </w:r>
            <w:proofErr w:type="spellEnd"/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костного </w:t>
            </w:r>
            <w:r w:rsidR="00F55644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м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озга с</w:t>
            </w:r>
            <w:r w:rsidR="00F55644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гистологическим исследованием и</w:t>
            </w:r>
            <w:r w:rsidR="00F55644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гистологической оценкой </w:t>
            </w:r>
            <w:r w:rsidR="00F55644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с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тепени</w:t>
            </w:r>
            <w:r w:rsidR="00F55644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фиброза</w:t>
            </w:r>
          </w:p>
        </w:tc>
        <w:tc>
          <w:tcPr>
            <w:tcW w:w="57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258F" w:rsidRPr="00855CA9" w:rsidRDefault="00FE258F" w:rsidP="00F55644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w w:val="98"/>
                <w:sz w:val="28"/>
                <w:szCs w:val="28"/>
                <w:lang w:eastAsia="ru-RU"/>
              </w:rPr>
            </w:pPr>
            <w:proofErr w:type="gramStart"/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При установлении диагноза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далее при появлении</w:t>
            </w:r>
            <w:r w:rsidR="00F55644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признаков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свидетельствующих о прогрессировании</w:t>
            </w:r>
            <w:r w:rsidR="00F55644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w w:val="99"/>
                <w:sz w:val="28"/>
                <w:szCs w:val="28"/>
                <w:lang w:eastAsia="ru-RU"/>
              </w:rPr>
              <w:t xml:space="preserve">заболевания </w:t>
            </w:r>
            <w:r w:rsidRPr="00855CA9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(</w:t>
            </w:r>
            <w:r w:rsidRPr="00855CA9">
              <w:rPr>
                <w:rFonts w:ascii="Times New Roman" w:eastAsia="Arial" w:hAnsi="Times New Roman" w:cs="Times New Roman"/>
                <w:w w:val="99"/>
                <w:sz w:val="28"/>
                <w:szCs w:val="28"/>
                <w:lang w:eastAsia="ru-RU"/>
              </w:rPr>
              <w:t>анемия</w:t>
            </w:r>
            <w:r w:rsidRPr="00855CA9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,</w:t>
            </w:r>
            <w:r w:rsidRPr="00855CA9">
              <w:rPr>
                <w:rFonts w:ascii="Times New Roman" w:eastAsia="Arial" w:hAnsi="Times New Roman" w:cs="Times New Roman"/>
                <w:w w:val="99"/>
                <w:sz w:val="28"/>
                <w:szCs w:val="28"/>
                <w:lang w:eastAsia="ru-RU"/>
              </w:rPr>
              <w:t xml:space="preserve"> развитие лейкоцитоза</w:t>
            </w:r>
            <w:r w:rsidRPr="00855CA9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,</w:t>
            </w:r>
            <w:r w:rsidRPr="00855CA9">
              <w:rPr>
                <w:rFonts w:ascii="Times New Roman" w:eastAsia="Arial" w:hAnsi="Times New Roman" w:cs="Times New Roman"/>
                <w:w w:val="99"/>
                <w:sz w:val="28"/>
                <w:szCs w:val="28"/>
                <w:lang w:eastAsia="ru-RU"/>
              </w:rPr>
              <w:t xml:space="preserve"> сдвига</w:t>
            </w:r>
            <w:r w:rsidR="00F55644">
              <w:rPr>
                <w:rFonts w:ascii="Times New Roman" w:eastAsia="Arial" w:hAnsi="Times New Roman" w:cs="Times New Roman"/>
                <w:w w:val="99"/>
                <w:sz w:val="28"/>
                <w:szCs w:val="28"/>
                <w:lang w:eastAsia="ru-RU"/>
              </w:rPr>
              <w:t xml:space="preserve"> </w:t>
            </w:r>
            <w:r w:rsidRPr="00855CA9">
              <w:rPr>
                <w:rFonts w:ascii="Times New Roman" w:eastAsia="Arial" w:hAnsi="Times New Roman" w:cs="Times New Roman"/>
                <w:w w:val="98"/>
                <w:sz w:val="28"/>
                <w:szCs w:val="28"/>
                <w:lang w:eastAsia="ru-RU"/>
              </w:rPr>
              <w:t>влево в лейкоцитарной формуле</w:t>
            </w:r>
            <w:r w:rsidRPr="00855CA9">
              <w:rPr>
                <w:rFonts w:ascii="Times New Roman" w:eastAsia="Times New Roman" w:hAnsi="Times New Roman" w:cs="Times New Roman"/>
                <w:w w:val="98"/>
                <w:sz w:val="28"/>
                <w:szCs w:val="28"/>
                <w:lang w:eastAsia="ru-RU"/>
              </w:rPr>
              <w:t>,</w:t>
            </w:r>
            <w:r w:rsidRPr="00855CA9">
              <w:rPr>
                <w:rFonts w:ascii="Times New Roman" w:eastAsia="Arial" w:hAnsi="Times New Roman" w:cs="Times New Roman"/>
                <w:w w:val="98"/>
                <w:sz w:val="28"/>
                <w:szCs w:val="28"/>
                <w:lang w:eastAsia="ru-RU"/>
              </w:rPr>
              <w:t xml:space="preserve"> повышение уровня</w:t>
            </w:r>
            <w:proofErr w:type="gramEnd"/>
          </w:p>
          <w:p w:rsidR="00FE258F" w:rsidRPr="00855CA9" w:rsidRDefault="00FE258F" w:rsidP="00F55644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сывороточного</w:t>
            </w:r>
            <w:proofErr w:type="gramEnd"/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ЛДГ</w:t>
            </w:r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появление </w:t>
            </w:r>
            <w:proofErr w:type="spellStart"/>
            <w:r w:rsidR="00F55644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с</w:t>
            </w:r>
            <w:r w:rsidRPr="00855CA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пленомегалии</w:t>
            </w:r>
            <w:proofErr w:type="spellEnd"/>
            <w:r w:rsidRPr="00855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</w:tbl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В настоящее время нет однозначных рекомендаций по контролю эффективности лечения на основании исследования к</w:t>
      </w:r>
      <w:r w:rsidR="00405646">
        <w:rPr>
          <w:rFonts w:ascii="Times New Roman" w:hAnsi="Times New Roman" w:cs="Times New Roman"/>
          <w:sz w:val="28"/>
          <w:szCs w:val="28"/>
        </w:rPr>
        <w:t>остномозгового кроветворения [26</w:t>
      </w:r>
      <w:r w:rsidRPr="00855CA9">
        <w:rPr>
          <w:rFonts w:ascii="Times New Roman" w:hAnsi="Times New Roman" w:cs="Times New Roman"/>
          <w:sz w:val="28"/>
          <w:szCs w:val="28"/>
        </w:rPr>
        <w:t xml:space="preserve">]. В рамках клинических исследований гистологическое исследование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трепанобиоптата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костного мозга проводится 1 раз в год для оц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енки изменения степени фиброза, </w:t>
      </w:r>
      <w:r w:rsidRPr="00855CA9">
        <w:rPr>
          <w:rFonts w:ascii="Times New Roman" w:hAnsi="Times New Roman" w:cs="Times New Roman"/>
          <w:sz w:val="28"/>
          <w:szCs w:val="28"/>
        </w:rPr>
        <w:t xml:space="preserve">признаков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патоморфоза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/дисплазии различных ростков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миелопоэза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Появление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бластов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более 20% свидетельствует о развитии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бластной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фазы заболевания. Тактика ведения данных пациентов в настоящее время не разработана. Наиболее часто используются те же подходы, как и для пациентов с острыми лейкозами, но дозы препаратов снижают на 30 – 50%, с учетом отсутствия резерва нормального костномозгового кроветворения, пожилого возраста,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предлеченности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цитостатиками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. Прогноз при развитии БФ неблагоприятный, выживаемость составляет несколько месяцев. Терапия носит паллиативный характер.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lastRenderedPageBreak/>
        <w:t>Лечение пациентов с тромбозами проводятся совместно с сосудистыми хирургами.</w:t>
      </w:r>
    </w:p>
    <w:p w:rsidR="00AF1EDB" w:rsidRPr="00855CA9" w:rsidRDefault="009149B8" w:rsidP="009149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ТРАНСФОРМАЦИЯ ИП 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В МИЕЛОФИБРОЗ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Клинически трансформация в МФ манифестируе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тся снижением показателей крови </w:t>
      </w:r>
      <w:r w:rsidRPr="00855CA9">
        <w:rPr>
          <w:rFonts w:ascii="Times New Roman" w:hAnsi="Times New Roman" w:cs="Times New Roman"/>
          <w:sz w:val="28"/>
          <w:szCs w:val="28"/>
        </w:rPr>
        <w:t xml:space="preserve">(часто – анемия), появлением «левого сдвига»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гранулоцитарного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ростка и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эритрокариоцитов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в гемограмме, увеличением селезенки, что обусловлено появлением экстрамедуллярного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миелопоэза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При наличии в гемограмме или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миелограмме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более 20% клеток с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бластной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морфологией диагностируется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бластная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фаза. При наличии в гемограмме более 10%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бластн</w:t>
      </w:r>
      <w:r w:rsidR="00405646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405646">
        <w:rPr>
          <w:rFonts w:ascii="Times New Roman" w:hAnsi="Times New Roman" w:cs="Times New Roman"/>
          <w:sz w:val="28"/>
          <w:szCs w:val="28"/>
        </w:rPr>
        <w:t xml:space="preserve"> клеток - фаза акселерации [27</w:t>
      </w:r>
      <w:r w:rsidRPr="00855CA9">
        <w:rPr>
          <w:rFonts w:ascii="Times New Roman" w:hAnsi="Times New Roman" w:cs="Times New Roman"/>
          <w:sz w:val="28"/>
          <w:szCs w:val="28"/>
        </w:rPr>
        <w:t>].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К прогрессии/трансформации ИП следует относить появление МДС-подобных морфологических признаков (возможна трансформация в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4593" w:rsidRPr="00855CA9">
        <w:rPr>
          <w:rFonts w:ascii="Times New Roman" w:hAnsi="Times New Roman" w:cs="Times New Roman"/>
          <w:sz w:val="28"/>
          <w:szCs w:val="28"/>
        </w:rPr>
        <w:t>миелодиспластический</w:t>
      </w:r>
      <w:proofErr w:type="spellEnd"/>
      <w:r w:rsidR="00634593" w:rsidRPr="00855CA9">
        <w:rPr>
          <w:rFonts w:ascii="Times New Roman" w:hAnsi="Times New Roman" w:cs="Times New Roman"/>
          <w:sz w:val="28"/>
          <w:szCs w:val="28"/>
        </w:rPr>
        <w:t xml:space="preserve"> синдром), </w:t>
      </w:r>
      <w:r w:rsidRPr="00855CA9">
        <w:rPr>
          <w:rFonts w:ascii="Times New Roman" w:hAnsi="Times New Roman" w:cs="Times New Roman"/>
          <w:sz w:val="28"/>
          <w:szCs w:val="28"/>
        </w:rPr>
        <w:t xml:space="preserve">появление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нейтрофилеза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(по типу хронического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нейтрофильного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лейкоза), выраженного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моноцитоза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и МДС/МПЗ-подоб</w:t>
      </w:r>
      <w:r w:rsidR="00405646">
        <w:rPr>
          <w:rFonts w:ascii="Times New Roman" w:hAnsi="Times New Roman" w:cs="Times New Roman"/>
          <w:sz w:val="28"/>
          <w:szCs w:val="28"/>
        </w:rPr>
        <w:t>ных признаков (по типу ХММЛ)</w:t>
      </w:r>
      <w:proofErr w:type="gramStart"/>
      <w:r w:rsidR="00405646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75934" w:rsidRPr="00855CA9" w:rsidRDefault="00AF1EDB" w:rsidP="00FF10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Международной рабочей группой IWG-MRT разработаны критерии для установления диагноза пост-ИП МФ, пост-ЭТ МФ. Данные критерии лежат </w:t>
      </w:r>
      <w:r w:rsidR="00405646">
        <w:rPr>
          <w:rFonts w:ascii="Times New Roman" w:hAnsi="Times New Roman" w:cs="Times New Roman"/>
          <w:sz w:val="28"/>
          <w:szCs w:val="28"/>
        </w:rPr>
        <w:t>в основе классификации ВОЗ 2008</w:t>
      </w:r>
      <w:r w:rsidR="00FF1009">
        <w:rPr>
          <w:rFonts w:ascii="Times New Roman" w:hAnsi="Times New Roman" w:cs="Times New Roman"/>
          <w:sz w:val="28"/>
          <w:szCs w:val="28"/>
        </w:rPr>
        <w:t>.</w:t>
      </w:r>
    </w:p>
    <w:p w:rsidR="00FF1009" w:rsidRDefault="00FF1009" w:rsidP="00A759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75934" w:rsidRPr="00855C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75934" w:rsidRPr="00855CA9" w:rsidRDefault="00A75934" w:rsidP="00A759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  Лечебные подходы при хирургических вмешательствах</w:t>
      </w:r>
    </w:p>
    <w:p w:rsidR="00A75934" w:rsidRPr="00855CA9" w:rsidRDefault="00C526B8" w:rsidP="00A759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 пациентов с ИП</w:t>
      </w:r>
      <w:r w:rsidR="00A75934" w:rsidRPr="00855CA9">
        <w:rPr>
          <w:rFonts w:ascii="Times New Roman" w:hAnsi="Times New Roman" w:cs="Times New Roman"/>
          <w:sz w:val="28"/>
          <w:szCs w:val="28"/>
        </w:rPr>
        <w:t xml:space="preserve"> высокий </w:t>
      </w:r>
      <w:proofErr w:type="gramStart"/>
      <w:r w:rsidR="00A75934" w:rsidRPr="00855CA9">
        <w:rPr>
          <w:rFonts w:ascii="Times New Roman" w:hAnsi="Times New Roman" w:cs="Times New Roman"/>
          <w:sz w:val="28"/>
          <w:szCs w:val="28"/>
        </w:rPr>
        <w:t>риск</w:t>
      </w:r>
      <w:proofErr w:type="gramEnd"/>
      <w:r w:rsidR="00A75934" w:rsidRPr="00855CA9">
        <w:rPr>
          <w:rFonts w:ascii="Times New Roman" w:hAnsi="Times New Roman" w:cs="Times New Roman"/>
          <w:sz w:val="28"/>
          <w:szCs w:val="28"/>
        </w:rPr>
        <w:t xml:space="preserve"> как тромбоза, так и кровотечения во время хирургических операций. Перед плановой операцией целесообразно назначение </w:t>
      </w:r>
      <w:proofErr w:type="spellStart"/>
      <w:r w:rsidR="00A75934" w:rsidRPr="00855CA9">
        <w:rPr>
          <w:rFonts w:ascii="Times New Roman" w:hAnsi="Times New Roman" w:cs="Times New Roman"/>
          <w:sz w:val="28"/>
          <w:szCs w:val="28"/>
        </w:rPr>
        <w:t>циторедуктивных</w:t>
      </w:r>
      <w:proofErr w:type="spellEnd"/>
      <w:r w:rsidR="00A75934" w:rsidRPr="00855CA9">
        <w:rPr>
          <w:rFonts w:ascii="Times New Roman" w:hAnsi="Times New Roman" w:cs="Times New Roman"/>
          <w:sz w:val="28"/>
          <w:szCs w:val="28"/>
        </w:rPr>
        <w:t xml:space="preserve"> препаратов для нормализации числа клеток периферич</w:t>
      </w:r>
      <w:r>
        <w:rPr>
          <w:rFonts w:ascii="Times New Roman" w:hAnsi="Times New Roman" w:cs="Times New Roman"/>
          <w:sz w:val="28"/>
          <w:szCs w:val="28"/>
        </w:rPr>
        <w:t xml:space="preserve">еской крови. У всех больных ИП </w:t>
      </w:r>
      <w:r w:rsidR="00A75934" w:rsidRPr="00855CA9">
        <w:rPr>
          <w:rFonts w:ascii="Times New Roman" w:hAnsi="Times New Roman" w:cs="Times New Roman"/>
          <w:sz w:val="28"/>
          <w:szCs w:val="28"/>
        </w:rPr>
        <w:t xml:space="preserve">при проведении плановых оперативных вмешательств необходима отмена </w:t>
      </w:r>
      <w:proofErr w:type="spellStart"/>
      <w:r w:rsidR="00A75934" w:rsidRPr="00855CA9">
        <w:rPr>
          <w:rFonts w:ascii="Times New Roman" w:hAnsi="Times New Roman" w:cs="Times New Roman"/>
          <w:sz w:val="28"/>
          <w:szCs w:val="28"/>
        </w:rPr>
        <w:t>антиагрегантов</w:t>
      </w:r>
      <w:proofErr w:type="spellEnd"/>
      <w:r w:rsidR="00A75934" w:rsidRPr="00855CA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75934" w:rsidRPr="00855CA9">
        <w:rPr>
          <w:rFonts w:ascii="Times New Roman" w:hAnsi="Times New Roman" w:cs="Times New Roman"/>
          <w:sz w:val="28"/>
          <w:szCs w:val="28"/>
        </w:rPr>
        <w:t>циторедуктивных</w:t>
      </w:r>
      <w:proofErr w:type="spellEnd"/>
      <w:r w:rsidR="00A75934" w:rsidRPr="00855CA9">
        <w:rPr>
          <w:rFonts w:ascii="Times New Roman" w:hAnsi="Times New Roman" w:cs="Times New Roman"/>
          <w:sz w:val="28"/>
          <w:szCs w:val="28"/>
        </w:rPr>
        <w:t xml:space="preserve"> препаратов за 7-10 дней до операции.</w:t>
      </w:r>
    </w:p>
    <w:p w:rsidR="00A75934" w:rsidRPr="00855CA9" w:rsidRDefault="00A75934" w:rsidP="00A75934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       В случае развития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постспленэктомического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тромбоцитоза рекомендовано назначение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циторедуктивных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препаратов, что достоверно сокращает число постоперационных осложнений. После операции обязательным является проведение профилактики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тромбообразования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с ежедневным контролем уровня тромбоцитов. С учетом того, что при тромбоцитозе более высок риск как тромботических, так и геморрагических осложнений прием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антиагрегантов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циторедуктивной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терапии возобновляется как можно быстрее при устойчивом гемостазе и после </w:t>
      </w:r>
      <w:r w:rsidR="00405646">
        <w:rPr>
          <w:rFonts w:ascii="Times New Roman" w:hAnsi="Times New Roman" w:cs="Times New Roman"/>
          <w:sz w:val="28"/>
          <w:szCs w:val="28"/>
        </w:rPr>
        <w:t>заживления операционных ран</w:t>
      </w:r>
      <w:r w:rsidRPr="00855CA9">
        <w:rPr>
          <w:rFonts w:ascii="Times New Roman" w:hAnsi="Times New Roman" w:cs="Times New Roman"/>
          <w:sz w:val="28"/>
          <w:szCs w:val="28"/>
        </w:rPr>
        <w:t>.</w:t>
      </w:r>
    </w:p>
    <w:p w:rsidR="00AF1EDB" w:rsidRPr="00855CA9" w:rsidRDefault="004B6C97" w:rsidP="004B6C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</w:t>
      </w:r>
      <w:r w:rsidR="008D103B" w:rsidRPr="00855CA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Миелопролиферативные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заболевания и беременность.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В каждом конкретном случае необходимо исключить вторичный характер развития тромбоцитоза, лейкоцитоза, эритроцитоза.</w:t>
      </w:r>
    </w:p>
    <w:p w:rsidR="00AF1EDB" w:rsidRPr="00855CA9" w:rsidRDefault="00762621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Ведение беременности при 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ИП</w:t>
      </w:r>
    </w:p>
    <w:p w:rsidR="00AF1EDB" w:rsidRPr="00855CA9" w:rsidRDefault="00680E5D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Беременные пациентки с ИП 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должны наблюдаться в гематологических центрах с опытом ведения беременности и в тесном сотрудничестве с акушерами. Тер</w:t>
      </w:r>
      <w:r w:rsidR="00762621">
        <w:rPr>
          <w:rFonts w:ascii="Times New Roman" w:hAnsi="Times New Roman" w:cs="Times New Roman"/>
          <w:sz w:val="28"/>
          <w:szCs w:val="28"/>
        </w:rPr>
        <w:t xml:space="preserve">апевтические подходы при ИП 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при беременности зависят от статуса болезни пациенток и акушерского анамнеза. Если присутствует любой из ниже перечисленных факторов, беременность имеет высокий риск осложнений у матери и у плода.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-предшествующий венозный или артериальный тромбоз у матери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-предшествующие геморрагии по прич</w:t>
      </w:r>
      <w:r w:rsidR="005A57D8">
        <w:rPr>
          <w:rFonts w:ascii="Times New Roman" w:hAnsi="Times New Roman" w:cs="Times New Roman"/>
          <w:sz w:val="28"/>
          <w:szCs w:val="28"/>
        </w:rPr>
        <w:t>ине основного заболевания (ИП</w:t>
      </w:r>
      <w:r w:rsidRPr="00855CA9">
        <w:rPr>
          <w:rFonts w:ascii="Times New Roman" w:hAnsi="Times New Roman" w:cs="Times New Roman"/>
          <w:sz w:val="28"/>
          <w:szCs w:val="28"/>
        </w:rPr>
        <w:t>)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-осложнения предшествующей беременности, которые могли быть вызваны основным заболеванием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-значительные кровотечения до и после родов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-тяжелая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преэклампсия</w:t>
      </w:r>
      <w:proofErr w:type="spellEnd"/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необъяснимые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невынашивания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беременностей в первом триместре (≥3)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-задержка внутриутробного роста плода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-внутриутробная смерть или мертворождение (не выявлено другой причины)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-отслойка плаценты</w:t>
      </w:r>
    </w:p>
    <w:p w:rsidR="00AF1EDB" w:rsidRPr="00855CA9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гипертромбоцитоз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более 1000 х 10(9)/л 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Алгоритм обследования</w:t>
      </w:r>
      <w:r w:rsidR="00780CA4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предусматривает: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Динамический контроль показателей периферической крови с исследованием числа тромбоцитов, их функциональной активности, состояния плазменного звена гемостаза, а также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исследовани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содержмния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маркеров внутрисосудистого свертывания каждые 2 недели.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5CA9">
        <w:rPr>
          <w:rFonts w:ascii="Times New Roman" w:hAnsi="Times New Roman" w:cs="Times New Roman"/>
          <w:sz w:val="28"/>
          <w:szCs w:val="28"/>
        </w:rPr>
        <w:t>Исключение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антифосфолипидного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с</w:t>
      </w:r>
      <w:r w:rsidR="00634593" w:rsidRPr="00855CA9">
        <w:rPr>
          <w:rFonts w:ascii="Times New Roman" w:hAnsi="Times New Roman" w:cs="Times New Roman"/>
          <w:sz w:val="28"/>
          <w:szCs w:val="28"/>
        </w:rPr>
        <w:t>индрома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="00634593" w:rsidRPr="00855CA9">
        <w:rPr>
          <w:rFonts w:ascii="Times New Roman" w:hAnsi="Times New Roman" w:cs="Times New Roman"/>
          <w:sz w:val="28"/>
          <w:szCs w:val="28"/>
        </w:rPr>
        <w:t>(волчаночный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коагулянт,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антикардиолипиновые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антитела), а также исследование мутации генов, сопряженных с наследственной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тромбофилией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, уровня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гомоцистеина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(если данные исследования не были проведены до беременности).</w:t>
      </w:r>
      <w:proofErr w:type="gramEnd"/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lastRenderedPageBreak/>
        <w:t>УЗИ плода дважды в каждом триместре.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Допплерометрия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с исследованием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фетоплацентарного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и маточно-плацентарного кровотока в средней мозговой артерии плода с 22-й недели, каждые 4 недели.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Кардиотокография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плода с 33 недели (33, 36, 38 недели).</w:t>
      </w:r>
    </w:p>
    <w:p w:rsidR="00634593" w:rsidRPr="00855CA9" w:rsidRDefault="005A57D8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лечении больных ИП 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во время беременности</w:t>
      </w:r>
      <w:r w:rsidR="00392F3B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отмечается аналогичная тактика, 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направленная  на  профилактику  сосудистых осложнений 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и  борьбу  с  тромбоцитозом.  В </w:t>
      </w:r>
      <w:r w:rsidR="00AF1EDB" w:rsidRPr="00855CA9">
        <w:rPr>
          <w:rFonts w:ascii="Times New Roman" w:hAnsi="Times New Roman" w:cs="Times New Roman"/>
          <w:sz w:val="28"/>
          <w:szCs w:val="28"/>
        </w:rPr>
        <w:t>настоящее время применение не проникающих через плаценту и не обладающих тератогенным эффектом ЛС позволило значительно улучшить качество</w:t>
      </w:r>
      <w:r w:rsidR="00FF1009">
        <w:rPr>
          <w:rFonts w:ascii="Times New Roman" w:hAnsi="Times New Roman" w:cs="Times New Roman"/>
          <w:sz w:val="28"/>
          <w:szCs w:val="28"/>
        </w:rPr>
        <w:t xml:space="preserve"> </w:t>
      </w:r>
      <w:r w:rsidR="00AF1EDB" w:rsidRPr="00855CA9">
        <w:rPr>
          <w:rFonts w:ascii="Times New Roman" w:hAnsi="Times New Roman" w:cs="Times New Roman"/>
          <w:sz w:val="28"/>
          <w:szCs w:val="28"/>
        </w:rPr>
        <w:t>жизни, прогноз и исход данных заболеваний, а также способствовало сохранению беременности у пациенток.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Терапевтические возможности включают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антитромботическое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лечение, кровопускания при ИП и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циторедуктивную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терапию. Рекомендовано поддерживать уровень гематокрита в нормальных пределах, соответствующих беременности. Повышенный объем плазмы часто приводит к уменьшению гематокрита и тромбоцитов, во втором триместре, число которых вновь повышается в послеродовом периоде, создавая повышений риск тромбоза в первые шесть недель после родов. Тесный мониторинг числа клеток перифериче</w:t>
      </w:r>
      <w:r w:rsidR="00634593" w:rsidRPr="00855CA9">
        <w:rPr>
          <w:rFonts w:ascii="Times New Roman" w:hAnsi="Times New Roman" w:cs="Times New Roman"/>
          <w:sz w:val="28"/>
          <w:szCs w:val="28"/>
        </w:rPr>
        <w:t>ской крови важен в этот период.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Применение аспирина в низких дозах безопасно и необходимо при беременности. Мы рекомендуем, чтобы при отсутствии явных противоп</w:t>
      </w:r>
      <w:r w:rsidR="00762621">
        <w:rPr>
          <w:rFonts w:ascii="Times New Roman" w:hAnsi="Times New Roman" w:cs="Times New Roman"/>
          <w:sz w:val="28"/>
          <w:szCs w:val="28"/>
        </w:rPr>
        <w:t xml:space="preserve">оказаний все пациенты с ИП </w:t>
      </w:r>
      <w:r w:rsidRPr="00855CA9">
        <w:rPr>
          <w:rFonts w:ascii="Times New Roman" w:hAnsi="Times New Roman" w:cs="Times New Roman"/>
          <w:sz w:val="28"/>
          <w:szCs w:val="28"/>
        </w:rPr>
        <w:t>должны принимать аспирин (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тромбо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-АСС,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кардиомагнил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) в дозе 75-100 мг в день в течение всей беременности. При планировании беременности аспирин нужно начать до зачатия для облегчения полноценной циркуляции крови в плаценте. Начиная со дня родов, аспирин замещают профилактической дозой гепар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ина с низким молекулярным весом </w:t>
      </w:r>
      <w:r w:rsidRPr="00855CA9">
        <w:rPr>
          <w:rFonts w:ascii="Times New Roman" w:hAnsi="Times New Roman" w:cs="Times New Roman"/>
          <w:sz w:val="28"/>
          <w:szCs w:val="28"/>
        </w:rPr>
        <w:t>(«низкомолекулярные гепарины»), который принимают до ш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ести недель после родов. Число </w:t>
      </w:r>
      <w:r w:rsidRPr="00855CA9">
        <w:rPr>
          <w:rFonts w:ascii="Times New Roman" w:hAnsi="Times New Roman" w:cs="Times New Roman"/>
          <w:sz w:val="28"/>
          <w:szCs w:val="28"/>
        </w:rPr>
        <w:t>клеток периферической крови необходимо контролировать каждую неделю для возможного эритроцитоза и тромбоцитоза.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Если у матери или плода есть риск осложнений (см. стратификацию риска), применение НМГ показано в течение всей беременности и в течение шести недель после родов. Дозы НМГ должны составлять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надропарин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Фраксипарин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®) 0,6 мл (570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0МЕ) 1 раз в сутки, </w:t>
      </w:r>
      <w:proofErr w:type="spellStart"/>
      <w:r w:rsidR="00634593" w:rsidRPr="00855CA9">
        <w:rPr>
          <w:rFonts w:ascii="Times New Roman" w:hAnsi="Times New Roman" w:cs="Times New Roman"/>
          <w:sz w:val="28"/>
          <w:szCs w:val="28"/>
        </w:rPr>
        <w:t>эноксапарин</w:t>
      </w:r>
      <w:proofErr w:type="spellEnd"/>
      <w:r w:rsidR="00634593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Клексан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®) 40 мг(0,4мл) 1 раз в сутки) или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далтепарин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Фрагмин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®) по 5000 МЕ х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раза в сутки.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lastRenderedPageBreak/>
        <w:t xml:space="preserve">В случае приема пациенткой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циторедуктивных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средств по показаниям, для исключения тератогенных эффектов,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гидроксимочевина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анагрелид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должны быть постепенно отменены за 3-6 месяцев до зачатия, то же приемлемо и для отцов. При необходимости продолжить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циторедукцию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назначением только ИФН-альфа.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Циторедуктивная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терапия должна быть рекомендована, когда беременность классифицируют как высокий риск по приведенным выше критериям, когда уровень тромбоцитов более 1000 – 1500 х 109/л при наличии наследственных факторов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тромбофилии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явлений. Препаратом выбора является ИФН-альфа, который считается безопасными.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Вскармливание грудным молоком возможно при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гепаринотерапии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, но противопоказано при приеме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циторедуктивных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средств, включая ИФН-альфа.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Рекомендации: всем беременным с тромбоцитозом назначают ацетилсалици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ловую кислоту в дозе 50-100 мг, </w:t>
      </w:r>
      <w:r w:rsidRPr="00855CA9">
        <w:rPr>
          <w:rFonts w:ascii="Times New Roman" w:hAnsi="Times New Roman" w:cs="Times New Roman"/>
          <w:sz w:val="28"/>
          <w:szCs w:val="28"/>
        </w:rPr>
        <w:t>При уровне тромбоцитоза более 600 х 109/л вводят рекомбинантный интерферон-альфа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 </w:t>
      </w:r>
      <w:r w:rsidRPr="00855CA9"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МЕ в день, позволяющий поддержать число тромбоцитов 200-300 х109/л.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При тромбоцитозе более 400 х109/л терапию ИФН-альфа продолжают, если это лечение проводилось еще до беременности и / или существует высокий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тромбогенный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риск.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Антикоагулянты прямого действия (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изкомолекулярный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гепарин) по показаниям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приотклонениях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в плазменном звене гемостаза: в случае развития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гиперкоагуляции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, не характерной для определенного срока беременности, при признаках активации внутрисосудистого свертывания крови, а также при наличии дополнительных факторов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свертыванин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, фолиевая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кислота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.я</w:t>
      </w:r>
      <w:proofErr w:type="spellEnd"/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наследственной и приобретенной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тромбофилии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Витамины группы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: пиридоксин,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цианокобаламин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, фолиевая кислота.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Профилактика тромбоэмболических осложнений перед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родоразрешеним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: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Медицинский компрессионный трикотаж.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Прием ацетилсалициловой кислоты отменить за 2 недели до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родоразрешения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в связи с высоким риском гематом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эпидурального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пространства.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lastRenderedPageBreak/>
        <w:t>Регионарную анестезию можно проводить не ранее чем через 12 часов после последней профилактической дозы низкомолекулярных гепаринов.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При плановом кесаревом сечении прекратить введение низкомолекулярных гепаринов в профилактических дозах за 24 часа до и возобновить через 3 часа после его окончания (или через 4 часа после удаления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эпидурального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катетера).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Терапия в послеродовом периоде: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Все пациентки получают ацетилсалициловую кислоту в дозе 50-100 мг.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Введение ИНФ-альфа продолжают, если лечение начато во время беременности и / или существовал высокий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тромбогенный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риск.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При наличии дополнительных факторов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тромбофилии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и/или высоком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тромбогенном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риске назначают низкомолекулярные гепарины в профилактических дозах в течение 6 недель послеродового периода.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Эффективность лечения подтверждается сохранением клинико-гематологической ремиссии заболевания, которая определяется данными объективного обследования, показателей периферической крови, УЗИ органов брюшной полост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и (размеры печени и селезенки), </w:t>
      </w:r>
      <w:r w:rsidRPr="00855CA9">
        <w:rPr>
          <w:rFonts w:ascii="Times New Roman" w:hAnsi="Times New Roman" w:cs="Times New Roman"/>
          <w:sz w:val="28"/>
          <w:szCs w:val="28"/>
        </w:rPr>
        <w:t>гистологическим исследованием костного мозга.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Осложнения и побочные эффекты лечения.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При адекватно подобранном лечении возможны 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нормальная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берменность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и роды.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Беременность не влияет на течение заболевания. Физическое развитие детей, частота врожденной и приобретенной патоло</w:t>
      </w:r>
      <w:r w:rsidR="005A57D8">
        <w:rPr>
          <w:rFonts w:ascii="Times New Roman" w:hAnsi="Times New Roman" w:cs="Times New Roman"/>
          <w:sz w:val="28"/>
          <w:szCs w:val="28"/>
        </w:rPr>
        <w:t>гии новорожденных у женщин с ИП</w:t>
      </w:r>
      <w:r w:rsidRPr="00855CA9">
        <w:rPr>
          <w:rFonts w:ascii="Times New Roman" w:hAnsi="Times New Roman" w:cs="Times New Roman"/>
          <w:sz w:val="28"/>
          <w:szCs w:val="28"/>
        </w:rPr>
        <w:t xml:space="preserve"> не отличается от аналогичных показателей в общей популяции.</w:t>
      </w:r>
    </w:p>
    <w:p w:rsidR="00634593" w:rsidRPr="00855CA9" w:rsidRDefault="00634593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br w:type="page"/>
      </w:r>
    </w:p>
    <w:p w:rsidR="00AF1EDB" w:rsidRPr="00855CA9" w:rsidRDefault="00AF1EDB" w:rsidP="00780CA4">
      <w:pPr>
        <w:jc w:val="center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Представления о патогенезе, диагностике и методах лечения хронических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миелопролиферативных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заболеваний на протяжении длительной истории их изучения неоднократно подвергались пересмотру. В последние годы достигнуты значительные успехи в расшифровке молекулярно-генетических механизмов 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патогенеза </w:t>
      </w:r>
      <w:proofErr w:type="spellStart"/>
      <w:r w:rsidR="00634593" w:rsidRPr="00855CA9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="00634593" w:rsidRPr="00855CA9">
        <w:rPr>
          <w:rFonts w:ascii="Times New Roman" w:hAnsi="Times New Roman" w:cs="Times New Roman"/>
          <w:sz w:val="28"/>
          <w:szCs w:val="28"/>
        </w:rPr>
        <w:t xml:space="preserve">-негативных МПЗ, в </w:t>
      </w:r>
      <w:r w:rsidRPr="00855CA9">
        <w:rPr>
          <w:rFonts w:ascii="Times New Roman" w:hAnsi="Times New Roman" w:cs="Times New Roman"/>
          <w:sz w:val="28"/>
          <w:szCs w:val="28"/>
        </w:rPr>
        <w:t>установлении роли JAK-STAT сигнального пути. Это привело к улучшению качества обследования и созданию международной унифицированной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 системы критериев диагностики, </w:t>
      </w:r>
      <w:r w:rsidRPr="00855CA9">
        <w:rPr>
          <w:rFonts w:ascii="Times New Roman" w:hAnsi="Times New Roman" w:cs="Times New Roman"/>
          <w:sz w:val="28"/>
          <w:szCs w:val="28"/>
        </w:rPr>
        <w:t>мониторинга и оценки ответа на лечение.</w:t>
      </w:r>
    </w:p>
    <w:p w:rsidR="00AF1EDB" w:rsidRPr="00855CA9" w:rsidRDefault="00762621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ИП 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 типичное течение заболеваний связано с возникновением симптомов нарушений микроциркуляции на фоне предшествующего бессимптомного повышения показателей крови на протяжении нескольких лет. Выявление заболевания происходит </w:t>
      </w:r>
      <w:proofErr w:type="gramStart"/>
      <w:r w:rsidR="00AF1EDB" w:rsidRPr="00855CA9">
        <w:rPr>
          <w:rFonts w:ascii="Times New Roman" w:hAnsi="Times New Roman" w:cs="Times New Roman"/>
          <w:sz w:val="28"/>
          <w:szCs w:val="28"/>
        </w:rPr>
        <w:t>при направлении к гематологу по поводу отклонений в анализах крови при профилактическом обследовании</w:t>
      </w:r>
      <w:proofErr w:type="gram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или уже после состоявшихся тромбозов и тромбоэмболий.</w:t>
      </w:r>
    </w:p>
    <w:p w:rsidR="00AF1EDB" w:rsidRPr="00855CA9" w:rsidRDefault="00762621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Диагноз ИП </w:t>
      </w:r>
      <w:r w:rsidR="00AF1EDB" w:rsidRPr="00855CA9">
        <w:rPr>
          <w:rFonts w:ascii="Times New Roman" w:hAnsi="Times New Roman" w:cs="Times New Roman"/>
          <w:sz w:val="28"/>
          <w:szCs w:val="28"/>
        </w:rPr>
        <w:t>устанавливается на основании клинической картины и данных клинико-лабораторных исследований (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соответсвующи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изменения периферической крови, гистологические признаки в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трепанобиоптате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костного мозга, а также обнаружение точечной мутации JAK2 V617F в гене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янускиназы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рецептора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эритропоэтина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или других признаков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клональных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изменений </w:t>
      </w:r>
      <w:proofErr w:type="spellStart"/>
      <w:r w:rsidR="00AF1EDB" w:rsidRPr="00855CA9">
        <w:rPr>
          <w:rFonts w:ascii="Times New Roman" w:hAnsi="Times New Roman" w:cs="Times New Roman"/>
          <w:sz w:val="28"/>
          <w:szCs w:val="28"/>
        </w:rPr>
        <w:t>гемопоэза</w:t>
      </w:r>
      <w:proofErr w:type="spellEnd"/>
      <w:r w:rsidR="00AF1EDB" w:rsidRPr="00855CA9">
        <w:rPr>
          <w:rFonts w:ascii="Times New Roman" w:hAnsi="Times New Roman" w:cs="Times New Roman"/>
          <w:sz w:val="28"/>
          <w:szCs w:val="28"/>
        </w:rPr>
        <w:t>), также важным является исключение других заболеваний как причины изменений системы крови.</w:t>
      </w:r>
    </w:p>
    <w:p w:rsidR="00762621" w:rsidRDefault="00762621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терапии ИП 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в настоящее время является сдерживание прогрессирования заболевания, купирование его симптомов и улучшение качества жизни больных. При правильном подходе к лечению и контроле его результатов продолж</w:t>
      </w:r>
      <w:r>
        <w:rPr>
          <w:rFonts w:ascii="Times New Roman" w:hAnsi="Times New Roman" w:cs="Times New Roman"/>
          <w:sz w:val="28"/>
          <w:szCs w:val="28"/>
        </w:rPr>
        <w:t xml:space="preserve">ительность жизни больных ИП </w:t>
      </w:r>
      <w:r w:rsidR="00AF1EDB" w:rsidRPr="00855CA9">
        <w:rPr>
          <w:rFonts w:ascii="Times New Roman" w:hAnsi="Times New Roman" w:cs="Times New Roman"/>
          <w:sz w:val="28"/>
          <w:szCs w:val="28"/>
        </w:rPr>
        <w:t xml:space="preserve"> не должна отличаться от популяции. 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>Ле</w:t>
      </w:r>
      <w:r w:rsidR="005A57D8">
        <w:rPr>
          <w:rFonts w:ascii="Times New Roman" w:hAnsi="Times New Roman" w:cs="Times New Roman"/>
          <w:sz w:val="28"/>
          <w:szCs w:val="28"/>
        </w:rPr>
        <w:t>чение больных с ИП</w:t>
      </w:r>
      <w:r w:rsidRPr="00855CA9">
        <w:rPr>
          <w:rFonts w:ascii="Times New Roman" w:hAnsi="Times New Roman" w:cs="Times New Roman"/>
          <w:sz w:val="28"/>
          <w:szCs w:val="28"/>
        </w:rPr>
        <w:t xml:space="preserve"> может осуществляться только под наблюдением врача-гематолога с мониторингом его результатов в соответствии со стандартными критериями оценки ответов.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Терапия всех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-негативных МПЗ основана на применении 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риск-адаптированной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стратегии. Для этой цели на основании анализа данных наблюдения за большим количеством больных разработаны шкал</w:t>
      </w:r>
      <w:r w:rsidR="00762621">
        <w:rPr>
          <w:rFonts w:ascii="Times New Roman" w:hAnsi="Times New Roman" w:cs="Times New Roman"/>
          <w:sz w:val="28"/>
          <w:szCs w:val="28"/>
        </w:rPr>
        <w:t xml:space="preserve">ы прогноза тромбозов при ИП. </w:t>
      </w:r>
      <w:r w:rsidRPr="00855CA9">
        <w:rPr>
          <w:rFonts w:ascii="Times New Roman" w:hAnsi="Times New Roman" w:cs="Times New Roman"/>
          <w:sz w:val="28"/>
          <w:szCs w:val="28"/>
        </w:rPr>
        <w:t xml:space="preserve"> Важным является оценка возраста и сопутствующей патологии больного.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методами терапии являются:  профилактика тромбозов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антиагрегантами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;</w:t>
      </w:r>
      <w:r w:rsidR="00634593" w:rsidRPr="00855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циторедуктивная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терапия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цитостатиками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, интерфероном,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анагрелидом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; нормализация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цитокинового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профиля иммуномодуляторами,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глюкокортикоидами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; коррекция осложнений заболевания с помощью лучевой терапии, хирургического лечения, трансфузий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гемокомпонентов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. Единственным радикальным методом лечения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>-негативных МПЗ остается аллогенная трансплантация костного мозга (гемопоэтических стволовых клеток), имеющая ограниченную область применения в связи с риском летальности и серьезных осложнений.</w:t>
      </w:r>
    </w:p>
    <w:p w:rsidR="00AF1EDB" w:rsidRPr="00855CA9" w:rsidRDefault="00AF1EDB" w:rsidP="00780C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t xml:space="preserve">В настоящее время выявлены молекулярные мишени для проведения направленной патогенетической терапии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таргетными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препаратами, впервые </w:t>
      </w:r>
      <w:proofErr w:type="gramStart"/>
      <w:r w:rsidRPr="00855CA9">
        <w:rPr>
          <w:rFonts w:ascii="Times New Roman" w:hAnsi="Times New Roman" w:cs="Times New Roman"/>
          <w:sz w:val="28"/>
          <w:szCs w:val="28"/>
        </w:rPr>
        <w:t>обладающих</w:t>
      </w:r>
      <w:proofErr w:type="gramEnd"/>
      <w:r w:rsidRPr="00855CA9">
        <w:rPr>
          <w:rFonts w:ascii="Times New Roman" w:hAnsi="Times New Roman" w:cs="Times New Roman"/>
          <w:sz w:val="28"/>
          <w:szCs w:val="28"/>
        </w:rPr>
        <w:t xml:space="preserve"> способностью модифицировать течение болезни. Первый препарат из этого класса –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руксолитиниб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уже зарегистрирован в России для лечения первичного,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постполицитемического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посттромбоцитемического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миелофиброза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, ведутся его успешные клинические испытания при истинной полицитемии и </w:t>
      </w:r>
      <w:proofErr w:type="spellStart"/>
      <w:r w:rsidRPr="00855CA9">
        <w:rPr>
          <w:rFonts w:ascii="Times New Roman" w:hAnsi="Times New Roman" w:cs="Times New Roman"/>
          <w:sz w:val="28"/>
          <w:szCs w:val="28"/>
        </w:rPr>
        <w:t>эссенциальной</w:t>
      </w:r>
      <w:proofErr w:type="spellEnd"/>
      <w:r w:rsidRPr="00855CA9">
        <w:rPr>
          <w:rFonts w:ascii="Times New Roman" w:hAnsi="Times New Roman" w:cs="Times New Roman"/>
          <w:sz w:val="28"/>
          <w:szCs w:val="28"/>
        </w:rPr>
        <w:t xml:space="preserve"> тромбоцитемии. Проведение клинических испытаний этих препаратов позволяет надеяться на успешное внедрение их в клиническую практику и значительное повышение продолжительности и качества ж</w:t>
      </w:r>
      <w:r w:rsidR="00762621">
        <w:rPr>
          <w:rFonts w:ascii="Times New Roman" w:hAnsi="Times New Roman" w:cs="Times New Roman"/>
          <w:sz w:val="28"/>
          <w:szCs w:val="28"/>
        </w:rPr>
        <w:t>изни больных с ИП.</w:t>
      </w:r>
    </w:p>
    <w:p w:rsidR="00634593" w:rsidRPr="00855CA9" w:rsidRDefault="00634593" w:rsidP="004E0876">
      <w:pPr>
        <w:jc w:val="both"/>
        <w:rPr>
          <w:rFonts w:ascii="Times New Roman" w:hAnsi="Times New Roman" w:cs="Times New Roman"/>
          <w:sz w:val="28"/>
          <w:szCs w:val="28"/>
        </w:rPr>
      </w:pPr>
      <w:r w:rsidRPr="00855CA9">
        <w:rPr>
          <w:rFonts w:ascii="Times New Roman" w:hAnsi="Times New Roman" w:cs="Times New Roman"/>
          <w:sz w:val="28"/>
          <w:szCs w:val="28"/>
        </w:rPr>
        <w:br w:type="page"/>
      </w:r>
    </w:p>
    <w:p w:rsidR="00AF1EDB" w:rsidRPr="000803C4" w:rsidRDefault="00AF1EDB" w:rsidP="00CB485A">
      <w:pPr>
        <w:spacing w:line="240" w:lineRule="auto"/>
        <w:jc w:val="center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</w:rPr>
        <w:lastRenderedPageBreak/>
        <w:t>Литература</w:t>
      </w:r>
      <w:r w:rsidRPr="000803C4">
        <w:rPr>
          <w:rFonts w:ascii="Times New Roman" w:hAnsi="Times New Roman" w:cs="Times New Roman"/>
          <w:szCs w:val="26"/>
          <w:lang w:val="en-US"/>
        </w:rPr>
        <w:t>.</w:t>
      </w:r>
    </w:p>
    <w:p w:rsidR="00762621" w:rsidRPr="000803C4" w:rsidRDefault="00AF1EDB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proofErr w:type="gramStart"/>
      <w:r w:rsidRPr="000803C4">
        <w:rPr>
          <w:rFonts w:ascii="Times New Roman" w:hAnsi="Times New Roman" w:cs="Times New Roman"/>
          <w:szCs w:val="26"/>
          <w:lang w:val="en-US"/>
        </w:rPr>
        <w:t>1.</w:t>
      </w:r>
      <w:r w:rsidR="00634593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Pr="000803C4">
        <w:rPr>
          <w:rFonts w:ascii="Times New Roman" w:hAnsi="Times New Roman" w:cs="Times New Roman"/>
          <w:szCs w:val="26"/>
          <w:lang w:val="en-US"/>
        </w:rPr>
        <w:t>Vardiman</w:t>
      </w:r>
      <w:proofErr w:type="spellEnd"/>
      <w:r w:rsidRPr="000803C4">
        <w:rPr>
          <w:rFonts w:ascii="Times New Roman" w:hAnsi="Times New Roman" w:cs="Times New Roman"/>
          <w:szCs w:val="26"/>
          <w:lang w:val="en-US"/>
        </w:rPr>
        <w:t xml:space="preserve"> J.W., Thiele J., Arber D.A., et al.</w:t>
      </w:r>
      <w:proofErr w:type="gramEnd"/>
      <w:r w:rsidRPr="000803C4">
        <w:rPr>
          <w:rFonts w:ascii="Times New Roman" w:hAnsi="Times New Roman" w:cs="Times New Roman"/>
          <w:szCs w:val="26"/>
          <w:lang w:val="en-US"/>
        </w:rPr>
        <w:t xml:space="preserve"> The 2008 revision of the World Health Organization (WHO) classification of myeloid neoplasms and acute leukemia: rationale and important changes / </w:t>
      </w:r>
      <w:proofErr w:type="spellStart"/>
      <w:r w:rsidRPr="000803C4">
        <w:rPr>
          <w:rFonts w:ascii="Times New Roman" w:hAnsi="Times New Roman" w:cs="Times New Roman"/>
          <w:szCs w:val="26"/>
          <w:lang w:val="en-US"/>
        </w:rPr>
        <w:t>Vardiman</w:t>
      </w:r>
      <w:proofErr w:type="spellEnd"/>
      <w:r w:rsidRPr="000803C4">
        <w:rPr>
          <w:rFonts w:ascii="Times New Roman" w:hAnsi="Times New Roman" w:cs="Times New Roman"/>
          <w:szCs w:val="26"/>
          <w:lang w:val="en-US"/>
        </w:rPr>
        <w:t xml:space="preserve"> J.W., Thiele J., Arber D.A., et al. // Blood. - 2009. </w:t>
      </w:r>
      <w:proofErr w:type="gramStart"/>
      <w:r w:rsidRPr="000803C4">
        <w:rPr>
          <w:rFonts w:ascii="Times New Roman" w:hAnsi="Times New Roman" w:cs="Times New Roman"/>
          <w:szCs w:val="26"/>
          <w:lang w:val="en-US"/>
        </w:rPr>
        <w:t xml:space="preserve">- </w:t>
      </w:r>
      <w:r w:rsidRPr="000803C4">
        <w:rPr>
          <w:rFonts w:ascii="Times New Roman" w:hAnsi="Times New Roman" w:cs="Times New Roman"/>
          <w:szCs w:val="26"/>
        </w:rPr>
        <w:t>Т</w:t>
      </w:r>
      <w:r w:rsidRPr="000803C4">
        <w:rPr>
          <w:rFonts w:ascii="Times New Roman" w:hAnsi="Times New Roman" w:cs="Times New Roman"/>
          <w:szCs w:val="26"/>
          <w:lang w:val="en-US"/>
        </w:rPr>
        <w:t>.114.</w:t>
      </w:r>
      <w:proofErr w:type="gramEnd"/>
      <w:r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gramStart"/>
      <w:r w:rsidRPr="000803C4">
        <w:rPr>
          <w:rFonts w:ascii="Times New Roman" w:hAnsi="Times New Roman" w:cs="Times New Roman"/>
          <w:szCs w:val="26"/>
          <w:lang w:val="en-US"/>
        </w:rPr>
        <w:t>№5.</w:t>
      </w:r>
      <w:proofErr w:type="gramEnd"/>
      <w:r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gramStart"/>
      <w:r w:rsidRPr="000803C4">
        <w:rPr>
          <w:rFonts w:ascii="Times New Roman" w:hAnsi="Times New Roman" w:cs="Times New Roman"/>
          <w:szCs w:val="26"/>
          <w:lang w:val="en-US"/>
        </w:rPr>
        <w:t xml:space="preserve">- </w:t>
      </w:r>
      <w:r w:rsidRPr="000803C4">
        <w:rPr>
          <w:rFonts w:ascii="Times New Roman" w:hAnsi="Times New Roman" w:cs="Times New Roman"/>
          <w:szCs w:val="26"/>
        </w:rPr>
        <w:t>С</w:t>
      </w:r>
      <w:r w:rsidR="00762621" w:rsidRPr="000803C4">
        <w:rPr>
          <w:rFonts w:ascii="Times New Roman" w:hAnsi="Times New Roman" w:cs="Times New Roman"/>
          <w:szCs w:val="26"/>
          <w:lang w:val="en-US"/>
        </w:rPr>
        <w:t>.937-951.</w:t>
      </w:r>
      <w:proofErr w:type="gramEnd"/>
    </w:p>
    <w:p w:rsidR="00AF1EDB" w:rsidRPr="000803C4" w:rsidRDefault="00AF1EDB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2.</w:t>
      </w:r>
      <w:r w:rsidR="00634593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Pr="000803C4">
        <w:rPr>
          <w:rFonts w:ascii="Times New Roman" w:hAnsi="Times New Roman" w:cs="Times New Roman"/>
          <w:szCs w:val="26"/>
          <w:lang w:val="en-US"/>
        </w:rPr>
        <w:t>Rollison</w:t>
      </w:r>
      <w:proofErr w:type="spellEnd"/>
      <w:r w:rsidRPr="000803C4">
        <w:rPr>
          <w:rFonts w:ascii="Times New Roman" w:hAnsi="Times New Roman" w:cs="Times New Roman"/>
          <w:szCs w:val="26"/>
          <w:lang w:val="en-US"/>
        </w:rPr>
        <w:t xml:space="preserve"> D.E., </w:t>
      </w:r>
      <w:proofErr w:type="spellStart"/>
      <w:r w:rsidRPr="000803C4">
        <w:rPr>
          <w:rFonts w:ascii="Times New Roman" w:hAnsi="Times New Roman" w:cs="Times New Roman"/>
          <w:szCs w:val="26"/>
          <w:lang w:val="en-US"/>
        </w:rPr>
        <w:t>Howlader</w:t>
      </w:r>
      <w:proofErr w:type="spellEnd"/>
      <w:r w:rsidRPr="000803C4">
        <w:rPr>
          <w:rFonts w:ascii="Times New Roman" w:hAnsi="Times New Roman" w:cs="Times New Roman"/>
          <w:szCs w:val="26"/>
          <w:lang w:val="en-US"/>
        </w:rPr>
        <w:t xml:space="preserve"> N., Smith M.T., et al. Epidemiology of myelodysplastic syndromes and chronic myeloproliferative disorders in the United States, 2001-2004, using data from the NAACCR and SEER programs / </w:t>
      </w:r>
      <w:proofErr w:type="spellStart"/>
      <w:r w:rsidRPr="000803C4">
        <w:rPr>
          <w:rFonts w:ascii="Times New Roman" w:hAnsi="Times New Roman" w:cs="Times New Roman"/>
          <w:szCs w:val="26"/>
          <w:lang w:val="en-US"/>
        </w:rPr>
        <w:t>Rollison</w:t>
      </w:r>
      <w:proofErr w:type="spellEnd"/>
      <w:r w:rsidRPr="000803C4">
        <w:rPr>
          <w:rFonts w:ascii="Times New Roman" w:hAnsi="Times New Roman" w:cs="Times New Roman"/>
          <w:szCs w:val="26"/>
          <w:lang w:val="en-US"/>
        </w:rPr>
        <w:t xml:space="preserve"> D.E., </w:t>
      </w:r>
      <w:proofErr w:type="spellStart"/>
      <w:r w:rsidRPr="000803C4">
        <w:rPr>
          <w:rFonts w:ascii="Times New Roman" w:hAnsi="Times New Roman" w:cs="Times New Roman"/>
          <w:szCs w:val="26"/>
          <w:lang w:val="en-US"/>
        </w:rPr>
        <w:t>Howlader</w:t>
      </w:r>
      <w:proofErr w:type="spellEnd"/>
      <w:r w:rsidRPr="000803C4">
        <w:rPr>
          <w:rFonts w:ascii="Times New Roman" w:hAnsi="Times New Roman" w:cs="Times New Roman"/>
          <w:szCs w:val="26"/>
          <w:lang w:val="en-US"/>
        </w:rPr>
        <w:t xml:space="preserve"> N., Smith M.T., et al. // Blood. - 2008. </w:t>
      </w:r>
      <w:proofErr w:type="gramStart"/>
      <w:r w:rsidRPr="000803C4">
        <w:rPr>
          <w:rFonts w:ascii="Times New Roman" w:hAnsi="Times New Roman" w:cs="Times New Roman"/>
          <w:szCs w:val="26"/>
          <w:lang w:val="en-US"/>
        </w:rPr>
        <w:t xml:space="preserve">- </w:t>
      </w:r>
      <w:r w:rsidRPr="000803C4">
        <w:rPr>
          <w:rFonts w:ascii="Times New Roman" w:hAnsi="Times New Roman" w:cs="Times New Roman"/>
          <w:szCs w:val="26"/>
        </w:rPr>
        <w:t>Т</w:t>
      </w:r>
      <w:r w:rsidRPr="000803C4">
        <w:rPr>
          <w:rFonts w:ascii="Times New Roman" w:hAnsi="Times New Roman" w:cs="Times New Roman"/>
          <w:szCs w:val="26"/>
          <w:lang w:val="en-US"/>
        </w:rPr>
        <w:t>.112.</w:t>
      </w:r>
      <w:proofErr w:type="gramEnd"/>
      <w:r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gramStart"/>
      <w:r w:rsidRPr="000803C4">
        <w:rPr>
          <w:rFonts w:ascii="Times New Roman" w:hAnsi="Times New Roman" w:cs="Times New Roman"/>
          <w:szCs w:val="26"/>
          <w:lang w:val="en-US"/>
        </w:rPr>
        <w:t>№1.</w:t>
      </w:r>
      <w:proofErr w:type="gramEnd"/>
      <w:r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gramStart"/>
      <w:r w:rsidRPr="000803C4">
        <w:rPr>
          <w:rFonts w:ascii="Times New Roman" w:hAnsi="Times New Roman" w:cs="Times New Roman"/>
          <w:szCs w:val="26"/>
          <w:lang w:val="en-US"/>
        </w:rPr>
        <w:t xml:space="preserve">- </w:t>
      </w:r>
      <w:r w:rsidRPr="000803C4">
        <w:rPr>
          <w:rFonts w:ascii="Times New Roman" w:hAnsi="Times New Roman" w:cs="Times New Roman"/>
          <w:szCs w:val="26"/>
        </w:rPr>
        <w:t>С</w:t>
      </w:r>
      <w:r w:rsidRPr="000803C4">
        <w:rPr>
          <w:rFonts w:ascii="Times New Roman" w:hAnsi="Times New Roman" w:cs="Times New Roman"/>
          <w:szCs w:val="26"/>
          <w:lang w:val="en-US"/>
        </w:rPr>
        <w:t>.45-52.</w:t>
      </w:r>
      <w:proofErr w:type="gramEnd"/>
    </w:p>
    <w:p w:rsidR="00AF1EDB" w:rsidRPr="000803C4" w:rsidRDefault="00AF1EDB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3.</w:t>
      </w:r>
      <w:r w:rsidR="00634593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Pr="000803C4">
        <w:rPr>
          <w:rFonts w:ascii="Times New Roman" w:hAnsi="Times New Roman" w:cs="Times New Roman"/>
          <w:szCs w:val="26"/>
          <w:lang w:val="en-US"/>
        </w:rPr>
        <w:t>Tefferi</w:t>
      </w:r>
      <w:proofErr w:type="spellEnd"/>
      <w:r w:rsidRPr="000803C4">
        <w:rPr>
          <w:rFonts w:ascii="Times New Roman" w:hAnsi="Times New Roman" w:cs="Times New Roman"/>
          <w:szCs w:val="26"/>
          <w:lang w:val="en-US"/>
        </w:rPr>
        <w:t xml:space="preserve"> F. the history </w:t>
      </w:r>
      <w:proofErr w:type="gramStart"/>
      <w:r w:rsidRPr="000803C4">
        <w:rPr>
          <w:rFonts w:ascii="Times New Roman" w:hAnsi="Times New Roman" w:cs="Times New Roman"/>
          <w:szCs w:val="26"/>
          <w:lang w:val="en-US"/>
        </w:rPr>
        <w:t>of  myeloproliferative</w:t>
      </w:r>
      <w:proofErr w:type="gramEnd"/>
      <w:r w:rsidRPr="000803C4">
        <w:rPr>
          <w:rFonts w:ascii="Times New Roman" w:hAnsi="Times New Roman" w:cs="Times New Roman"/>
          <w:szCs w:val="26"/>
          <w:lang w:val="en-US"/>
        </w:rPr>
        <w:t xml:space="preserve"> disorders: before and after </w:t>
      </w:r>
      <w:proofErr w:type="spellStart"/>
      <w:r w:rsidRPr="000803C4">
        <w:rPr>
          <w:rFonts w:ascii="Times New Roman" w:hAnsi="Times New Roman" w:cs="Times New Roman"/>
          <w:szCs w:val="26"/>
          <w:lang w:val="en-US"/>
        </w:rPr>
        <w:t>Dameshek</w:t>
      </w:r>
      <w:proofErr w:type="spellEnd"/>
      <w:r w:rsidRPr="000803C4">
        <w:rPr>
          <w:rFonts w:ascii="Times New Roman" w:hAnsi="Times New Roman" w:cs="Times New Roman"/>
          <w:szCs w:val="26"/>
          <w:lang w:val="en-US"/>
        </w:rPr>
        <w:t xml:space="preserve">. </w:t>
      </w:r>
      <w:proofErr w:type="spellStart"/>
      <w:r w:rsidRPr="000803C4">
        <w:rPr>
          <w:rFonts w:ascii="Times New Roman" w:hAnsi="Times New Roman" w:cs="Times New Roman"/>
          <w:szCs w:val="26"/>
          <w:lang w:val="en-US"/>
        </w:rPr>
        <w:t>Leykemia</w:t>
      </w:r>
      <w:proofErr w:type="spellEnd"/>
      <w:r w:rsidRPr="000803C4">
        <w:rPr>
          <w:rFonts w:ascii="Times New Roman" w:hAnsi="Times New Roman" w:cs="Times New Roman"/>
          <w:szCs w:val="26"/>
          <w:lang w:val="en-US"/>
        </w:rPr>
        <w:t xml:space="preserve"> 2008; 22:3-13.</w:t>
      </w:r>
    </w:p>
    <w:p w:rsidR="00AF1EDB" w:rsidRPr="000803C4" w:rsidRDefault="009678C0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4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Campbell P.J., Scott L.M., Buck G., et al. Definition of subtypes of essential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thrombocythaemia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and relation to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polycythaemia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vera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based on JAK2 V617F mutation status: a prospective study / Campbell P.J., Scott L.M., Buck G., et al. // The Lancet. - 2005.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- </w:t>
      </w:r>
      <w:r w:rsidR="00AF1EDB" w:rsidRPr="000803C4">
        <w:rPr>
          <w:rFonts w:ascii="Times New Roman" w:hAnsi="Times New Roman" w:cs="Times New Roman"/>
          <w:szCs w:val="26"/>
        </w:rPr>
        <w:t>Т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.366.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№9501.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- </w:t>
      </w:r>
      <w:r w:rsidR="00AF1EDB" w:rsidRPr="000803C4">
        <w:rPr>
          <w:rFonts w:ascii="Times New Roman" w:hAnsi="Times New Roman" w:cs="Times New Roman"/>
          <w:szCs w:val="26"/>
        </w:rPr>
        <w:t>С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.1945-1953.</w:t>
      </w:r>
      <w:proofErr w:type="gramEnd"/>
    </w:p>
    <w:p w:rsidR="00AF1EDB" w:rsidRPr="000803C4" w:rsidRDefault="009678C0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5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Tefferi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A. Classification, Diagnosis and Management of Myeloproliferative Disorders in the JAK2 V617F Era /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Tefferi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A. // ASH Education Program Book. - 2006.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- </w:t>
      </w:r>
      <w:r w:rsidR="00AF1EDB" w:rsidRPr="000803C4">
        <w:rPr>
          <w:rFonts w:ascii="Times New Roman" w:hAnsi="Times New Roman" w:cs="Times New Roman"/>
          <w:szCs w:val="26"/>
        </w:rPr>
        <w:t>Т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.2006.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№1.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- </w:t>
      </w:r>
      <w:r w:rsidR="00AF1EDB" w:rsidRPr="000803C4">
        <w:rPr>
          <w:rFonts w:ascii="Times New Roman" w:hAnsi="Times New Roman" w:cs="Times New Roman"/>
          <w:szCs w:val="26"/>
        </w:rPr>
        <w:t>С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.240-245.</w:t>
      </w:r>
      <w:proofErr w:type="gramEnd"/>
    </w:p>
    <w:p w:rsidR="00AF1EDB" w:rsidRPr="000803C4" w:rsidRDefault="009678C0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6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Vannucchi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A.M.,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Pieri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L. and Guglielmelli P. JAK2 allele burden in the myeloproliferative neoplasms: effects on phenotype, prognosis and change with treatment /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Vannucchi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A.M.,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Pieri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L. and Guglielmelli P. // Therapeutic Advances in Hematology. - 2011.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- </w:t>
      </w:r>
      <w:r w:rsidR="00AF1EDB" w:rsidRPr="000803C4">
        <w:rPr>
          <w:rFonts w:ascii="Times New Roman" w:hAnsi="Times New Roman" w:cs="Times New Roman"/>
          <w:szCs w:val="26"/>
        </w:rPr>
        <w:t>Т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.2.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№1.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- </w:t>
      </w:r>
      <w:r w:rsidR="00AF1EDB" w:rsidRPr="000803C4">
        <w:rPr>
          <w:rFonts w:ascii="Times New Roman" w:hAnsi="Times New Roman" w:cs="Times New Roman"/>
          <w:szCs w:val="26"/>
        </w:rPr>
        <w:t>С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.21-32.</w:t>
      </w:r>
      <w:proofErr w:type="gramEnd"/>
    </w:p>
    <w:p w:rsidR="00AF1EDB" w:rsidRPr="000803C4" w:rsidRDefault="009678C0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7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Pardanani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Lasho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TL, Finke C, Hanson CA,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Tefferi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A. Prevalence and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clinicopathologic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correlates of JAK2 exon 12 mutations in JAK2V617F-negative polycythemia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vera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>. Leukemia 2007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;21:1960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>–1963.</w:t>
      </w:r>
    </w:p>
    <w:p w:rsidR="00AF1EDB" w:rsidRPr="000803C4" w:rsidRDefault="009678C0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8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Vannucchi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AM,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Antonioli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E,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Guglielmelli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P,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Pardanani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Tefferi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A. Clinical correlates of JAK2V617F presence or allele burden in myeloproliferative neoplasms: A critical reappraisal. Leukemia 2008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;22:1299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>–1307.</w:t>
      </w:r>
    </w:p>
    <w:p w:rsidR="00AF1EDB" w:rsidRPr="000803C4" w:rsidRDefault="009678C0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9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Tefferi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Lasho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TL, Abdel-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Wahab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O, et al. IDH1 and IDH2 mutation studies in1473 patients with chronic-, fibrotic- or blast-phase essential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thrombocythemia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polycythemia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vera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or myelofibrosis. Leukemia 2010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;24:1302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>– 1309.</w:t>
      </w:r>
    </w:p>
    <w:p w:rsidR="00AF1EDB" w:rsidRPr="000803C4" w:rsidRDefault="009678C0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10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Tefferi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Pardanani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A, Lim KH, et al. TET2 mutations and their clinical correlates in polycythemia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vera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essential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thrombocythemia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and myelofibrosis, Leukemia 2009;23:905–911.</w:t>
      </w:r>
    </w:p>
    <w:p w:rsidR="00AF1EDB" w:rsidRPr="000803C4" w:rsidRDefault="009678C0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11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Brecqueville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M, Rey J,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Bertucci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F, et al. Mutation analysis of ASXL1, CBL, DNMT3A, IDH1, IDH2, JAK2, MPL, NF1, SF3B1, SUZ12, and TET2 in myeloproliferative neoplasms. Genes Chromosomes Cancer 2012;</w:t>
      </w:r>
      <w:r w:rsidR="00634593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51:743–755.</w:t>
      </w:r>
    </w:p>
    <w:p w:rsidR="000803C4" w:rsidRPr="00C9565A" w:rsidRDefault="009678C0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12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Stegelmann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F,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Bullinger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L,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Schlenk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RF, et al. DNMT3A mutations in myelopr</w:t>
      </w:r>
      <w:r w:rsidR="00634593" w:rsidRPr="000803C4">
        <w:rPr>
          <w:rFonts w:ascii="Times New Roman" w:hAnsi="Times New Roman" w:cs="Times New Roman"/>
          <w:szCs w:val="26"/>
          <w:lang w:val="en-US"/>
        </w:rPr>
        <w:t xml:space="preserve">oliferative neoplasms. Leukemia 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2011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;25:1217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>–1219</w:t>
      </w:r>
    </w:p>
    <w:p w:rsidR="00AF1EDB" w:rsidRPr="000803C4" w:rsidRDefault="009F1B27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1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3.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Varricchio L., Mancini A. and Anna Rita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Migliaccio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.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Pathological interactions between hematopoietic stem cells and their niche revealed by mouse models of primary myelofibrosis.// Expert Rev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Hematol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Author manuscript; 2009; June 1.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2(3).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PP.315-334].</w:t>
      </w:r>
      <w:proofErr w:type="gramEnd"/>
    </w:p>
    <w:p w:rsidR="00AF1EDB" w:rsidRPr="000803C4" w:rsidRDefault="009F1B27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14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Cervantes F., A. Alvarez-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Larrán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C.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Talarn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M. Gómez, and E. Montserrat, Myelofibrosis with myeloid metaplasia following essential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thrombocythaemia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: actuarial probability, presenting characteristics and evolution in a series of 195 patients.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British Journal of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Haematology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>, 2002.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118(3): p. 786-790.</w:t>
      </w:r>
    </w:p>
    <w:p w:rsidR="00AF1EDB" w:rsidRPr="000803C4" w:rsidRDefault="009F1B27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15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Passamonti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F., E. Rumi, L.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Arcaini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E.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Boveri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C. Elena, D.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Pietra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S.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Boggi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C.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Astori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P.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Bernasconi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M.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Varettoni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E.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Brusamolino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C.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Pascutto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and M.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Lazzarino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Prognostic factors for thrombosis, myelofibrosis, and leukemia in essential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thrombocythemia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: a study of 605 patients. </w:t>
      </w:r>
      <w:proofErr w:type="spellStart"/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Haematologica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>, 2008.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93(11): p. 1645-1651.</w:t>
      </w:r>
    </w:p>
    <w:p w:rsidR="00AF1EDB" w:rsidRPr="000803C4" w:rsidRDefault="009F1B27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lastRenderedPageBreak/>
        <w:t>16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Wolanskyj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A.P., S.M.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Schwager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R.F. McClure, D.R. Larson, and A.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Tefferi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Essential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Thrombocythemia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Beyond the First Decade: Life Expectancy, Long-term Complication Rates, and Prognostic Factors.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Mayo Clinic Proceedings, 2006.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81(2): p. 159-166.</w:t>
      </w:r>
    </w:p>
    <w:p w:rsidR="00AF1EDB" w:rsidRPr="000803C4" w:rsidRDefault="009F1B27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17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Kiladjian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J.-J., J.-D.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Rain, J.-F.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Bernard, J.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Briere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C.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Chomienne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and P.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Fenaux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Long-Term Incidence of Hematological Evolution in Three French Prospective Studies of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Hydroxyurea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and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Pipobroman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in Polycythemia Vera and Essential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Thrombocythemia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Semin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Thromb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Hemost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>, 2006. 32(04): p. 417-421.</w:t>
      </w:r>
    </w:p>
    <w:p w:rsidR="00AF1EDB" w:rsidRPr="000803C4" w:rsidRDefault="009F1B27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18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Passamonti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F., E. Rumi, L.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Arcaini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E.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Boveri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C. Elena, D.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Pietra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S.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Boggi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C.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Astori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P.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Bernasconi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M.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Varettoni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E.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Brusamolino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C.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Pascutto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and M.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Lazzarino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>, Prognostic factors for thrombosis,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myelofibrosis, and leukemia in essential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thrombocythemia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: a study of 605 patients. </w:t>
      </w:r>
      <w:proofErr w:type="spellStart"/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Haematologi</w:t>
      </w:r>
      <w:r w:rsidRPr="000803C4">
        <w:rPr>
          <w:rFonts w:ascii="Times New Roman" w:hAnsi="Times New Roman" w:cs="Times New Roman"/>
          <w:szCs w:val="26"/>
          <w:lang w:val="en-US"/>
        </w:rPr>
        <w:t>ca</w:t>
      </w:r>
      <w:proofErr w:type="spellEnd"/>
      <w:r w:rsidRPr="000803C4">
        <w:rPr>
          <w:rFonts w:ascii="Times New Roman" w:hAnsi="Times New Roman" w:cs="Times New Roman"/>
          <w:szCs w:val="26"/>
          <w:lang w:val="en-US"/>
        </w:rPr>
        <w:t>, 2008.</w:t>
      </w:r>
      <w:proofErr w:type="gramEnd"/>
      <w:r w:rsidRPr="000803C4">
        <w:rPr>
          <w:rFonts w:ascii="Times New Roman" w:hAnsi="Times New Roman" w:cs="Times New Roman"/>
          <w:szCs w:val="26"/>
          <w:lang w:val="en-US"/>
        </w:rPr>
        <w:t xml:space="preserve"> 93(11): p. 1645-1651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</w:p>
    <w:p w:rsidR="00AF1EDB" w:rsidRPr="000803C4" w:rsidRDefault="009F1B27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19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Tefferi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A, Thiele J,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Orazi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A, et al. Proposals and rationale for revision of the World Health Organization diagnostic criteria for polycythemia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vera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, essential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thrombocythemia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>, and primary myelofibrosis: Recommendations from an ad hoc international expert panel. Blood 2007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;110:1092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>–1097.</w:t>
      </w:r>
    </w:p>
    <w:p w:rsidR="00AF1EDB" w:rsidRPr="000803C4" w:rsidRDefault="00850E04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20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Crisa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E,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Venturino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E,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Passera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R, et al. A retrospective study on 226 polycythemia </w:t>
      </w:r>
      <w:proofErr w:type="spellStart"/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vera</w:t>
      </w:r>
      <w:proofErr w:type="spellEnd"/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patients: impact of median hematocrit value on clinical outcomes and survival improvement with anti-thrombotic prophylaxis and non-alkylating drugs. Ann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Hematol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2010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;89:691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>–699.</w:t>
      </w:r>
    </w:p>
    <w:p w:rsidR="00AF1EDB" w:rsidRPr="000803C4" w:rsidRDefault="00850E04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21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Diehn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F,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Tefferi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A. Pruritus in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polycythaemia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vera</w:t>
      </w:r>
      <w:proofErr w:type="spellEnd"/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: Prevalence, laboratory correlates and management. Br J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Haematol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2001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;115:619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>–621.</w:t>
      </w:r>
    </w:p>
    <w:p w:rsidR="00AF1EDB" w:rsidRPr="000803C4" w:rsidRDefault="00850E04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2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2.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Michiels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JJ,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Berneman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Z,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Schroyens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W, et al. The paradox of platelet activation and impaired function: platelet-von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Willebrand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factor interactions, and the etiology of thrombotic and hemorrhagic manifestations in essential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thrombocythemia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and polycythemia </w:t>
      </w:r>
      <w:proofErr w:type="spellStart"/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vera</w:t>
      </w:r>
      <w:proofErr w:type="spellEnd"/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Semin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Thromb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Hemost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2006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;32:589604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>.].</w:t>
      </w:r>
    </w:p>
    <w:p w:rsidR="00AF1EDB" w:rsidRPr="000803C4" w:rsidRDefault="00850E04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2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3.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Budde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U, Schaefer G, Mueller N, et al. Acquired von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Willebrand’s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disease in the myeloproliferative syndrome. Blood 1984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;64:981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>–985.</w:t>
      </w:r>
    </w:p>
    <w:p w:rsidR="00AF1EDB" w:rsidRPr="000803C4" w:rsidRDefault="00405646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24</w:t>
      </w:r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Quintás-Cardama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Kantarjian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H,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Manshouri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T, et al.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Pegylated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interferon alfa-2a yields high rates of hematologic and molecular response in patients with advanced essential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thrombocythemia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and polycythemia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vera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. J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Clin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Oncol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2009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;27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>(32):5418-5424.</w:t>
      </w:r>
    </w:p>
    <w:p w:rsidR="00AF1EDB" w:rsidRPr="000803C4" w:rsidRDefault="00405646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25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Kiladjian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JJ,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Chomienne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C,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Fenaux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P. Interferon-alpha therapy in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bcr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>-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abl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-negative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myeloproliferative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neoplasms.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Leukemia.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2008 Nov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;22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(11):1990-8. </w:t>
      </w:r>
      <w:proofErr w:type="spellStart"/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doi</w:t>
      </w:r>
      <w:proofErr w:type="spellEnd"/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: 10.1038/leu.2008.280.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Epub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2008 Oct 9</w:t>
      </w:r>
    </w:p>
    <w:p w:rsidR="00AF1EDB" w:rsidRPr="000803C4" w:rsidRDefault="00405646" w:rsidP="00CB485A">
      <w:pPr>
        <w:spacing w:line="240" w:lineRule="auto"/>
        <w:jc w:val="both"/>
        <w:rPr>
          <w:rFonts w:ascii="Times New Roman" w:hAnsi="Times New Roman" w:cs="Times New Roman"/>
          <w:szCs w:val="26"/>
          <w:lang w:val="en-US"/>
        </w:rPr>
      </w:pPr>
      <w:r w:rsidRPr="000803C4">
        <w:rPr>
          <w:rFonts w:ascii="Times New Roman" w:hAnsi="Times New Roman" w:cs="Times New Roman"/>
          <w:szCs w:val="26"/>
          <w:lang w:val="en-US"/>
        </w:rPr>
        <w:t>26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.</w:t>
      </w:r>
      <w:r w:rsidR="00392F3B" w:rsidRPr="000803C4">
        <w:rPr>
          <w:rFonts w:ascii="Times New Roman" w:hAnsi="Times New Roman" w:cs="Times New Roman"/>
          <w:szCs w:val="26"/>
          <w:lang w:val="en-US"/>
        </w:rPr>
        <w:t xml:space="preserve">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Barosi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G, Mesa R,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Finazzi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G, et al.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Revised</w:t>
      </w:r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response criteria for polycythemia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vera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and essential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thrombocythemia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: an ELN and IWG-MRT consensus project. </w:t>
      </w:r>
      <w:proofErr w:type="gramStart"/>
      <w:r w:rsidR="00AF1EDB" w:rsidRPr="000803C4">
        <w:rPr>
          <w:rFonts w:ascii="Times New Roman" w:hAnsi="Times New Roman" w:cs="Times New Roman"/>
          <w:szCs w:val="26"/>
          <w:lang w:val="en-US"/>
        </w:rPr>
        <w:t>Bloo</w:t>
      </w:r>
      <w:r w:rsidR="00473B99" w:rsidRPr="000803C4">
        <w:rPr>
          <w:rFonts w:ascii="Times New Roman" w:hAnsi="Times New Roman" w:cs="Times New Roman"/>
          <w:szCs w:val="26"/>
          <w:lang w:val="en-US"/>
        </w:rPr>
        <w:t>d.</w:t>
      </w:r>
      <w:proofErr w:type="gramEnd"/>
      <w:r w:rsidR="00473B99" w:rsidRPr="000803C4">
        <w:rPr>
          <w:rFonts w:ascii="Times New Roman" w:hAnsi="Times New Roman" w:cs="Times New Roman"/>
          <w:szCs w:val="26"/>
          <w:lang w:val="en-US"/>
        </w:rPr>
        <w:t xml:space="preserve"> 2013 Jun 6</w:t>
      </w:r>
      <w:proofErr w:type="gramStart"/>
      <w:r w:rsidR="00473B99" w:rsidRPr="000803C4">
        <w:rPr>
          <w:rFonts w:ascii="Times New Roman" w:hAnsi="Times New Roman" w:cs="Times New Roman"/>
          <w:szCs w:val="26"/>
          <w:lang w:val="en-US"/>
        </w:rPr>
        <w:t>;121</w:t>
      </w:r>
      <w:proofErr w:type="gramEnd"/>
      <w:r w:rsidR="00473B99" w:rsidRPr="000803C4">
        <w:rPr>
          <w:rFonts w:ascii="Times New Roman" w:hAnsi="Times New Roman" w:cs="Times New Roman"/>
          <w:szCs w:val="26"/>
          <w:lang w:val="en-US"/>
        </w:rPr>
        <w:t xml:space="preserve">(23):4778-81. </w:t>
      </w:r>
      <w:proofErr w:type="spellStart"/>
      <w:proofErr w:type="gramStart"/>
      <w:r w:rsidR="00473B99" w:rsidRPr="000803C4">
        <w:rPr>
          <w:rFonts w:ascii="Times New Roman" w:hAnsi="Times New Roman" w:cs="Times New Roman"/>
          <w:szCs w:val="26"/>
          <w:lang w:val="en-US"/>
        </w:rPr>
        <w:t>d</w:t>
      </w:r>
      <w:r w:rsidR="00AF1EDB" w:rsidRPr="000803C4">
        <w:rPr>
          <w:rFonts w:ascii="Times New Roman" w:hAnsi="Times New Roman" w:cs="Times New Roman"/>
          <w:szCs w:val="26"/>
          <w:lang w:val="en-US"/>
        </w:rPr>
        <w:t>oi</w:t>
      </w:r>
      <w:proofErr w:type="spellEnd"/>
      <w:proofErr w:type="gram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: 10.1182/blood-2013-01-478891. </w:t>
      </w:r>
      <w:proofErr w:type="spellStart"/>
      <w:r w:rsidR="00AF1EDB" w:rsidRPr="000803C4">
        <w:rPr>
          <w:rFonts w:ascii="Times New Roman" w:hAnsi="Times New Roman" w:cs="Times New Roman"/>
          <w:szCs w:val="26"/>
          <w:lang w:val="en-US"/>
        </w:rPr>
        <w:t>Epub</w:t>
      </w:r>
      <w:proofErr w:type="spellEnd"/>
      <w:r w:rsidR="00AF1EDB" w:rsidRPr="000803C4">
        <w:rPr>
          <w:rFonts w:ascii="Times New Roman" w:hAnsi="Times New Roman" w:cs="Times New Roman"/>
          <w:szCs w:val="26"/>
          <w:lang w:val="en-US"/>
        </w:rPr>
        <w:t xml:space="preserve"> 2013 Apr 16.</w:t>
      </w:r>
    </w:p>
    <w:p w:rsidR="00855CA9" w:rsidRPr="000803C4" w:rsidRDefault="00405646" w:rsidP="00593C69">
      <w:pPr>
        <w:tabs>
          <w:tab w:val="left" w:pos="338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  <w:lang w:eastAsia="ru-RU"/>
        </w:rPr>
      </w:pPr>
      <w:r w:rsidRPr="000803C4">
        <w:rPr>
          <w:rFonts w:ascii="Times New Roman" w:eastAsia="Times New Roman" w:hAnsi="Times New Roman" w:cs="Times New Roman"/>
          <w:szCs w:val="26"/>
          <w:lang w:val="en-US" w:eastAsia="ru-RU"/>
        </w:rPr>
        <w:t>27</w:t>
      </w:r>
      <w:proofErr w:type="gramStart"/>
      <w:r w:rsidR="00432471" w:rsidRPr="000803C4">
        <w:rPr>
          <w:rFonts w:ascii="Times New Roman" w:eastAsia="Times New Roman" w:hAnsi="Times New Roman" w:cs="Times New Roman"/>
          <w:szCs w:val="26"/>
          <w:lang w:val="en-US" w:eastAsia="ru-RU"/>
        </w:rPr>
        <w:t>.</w:t>
      </w:r>
      <w:r w:rsidR="00550D1D" w:rsidRPr="000803C4">
        <w:rPr>
          <w:rFonts w:ascii="Times New Roman" w:eastAsia="Times New Roman" w:hAnsi="Times New Roman" w:cs="Times New Roman"/>
          <w:szCs w:val="26"/>
          <w:lang w:val="en-US" w:eastAsia="ru-RU"/>
        </w:rPr>
        <w:t>John</w:t>
      </w:r>
      <w:proofErr w:type="gramEnd"/>
      <w:r w:rsidR="00550D1D" w:rsidRPr="000803C4">
        <w:rPr>
          <w:rFonts w:ascii="Times New Roman" w:eastAsia="Times New Roman" w:hAnsi="Times New Roman" w:cs="Times New Roman"/>
          <w:szCs w:val="26"/>
          <w:lang w:val="en-US" w:eastAsia="ru-RU"/>
        </w:rPr>
        <w:t xml:space="preserve"> </w:t>
      </w:r>
      <w:proofErr w:type="spellStart"/>
      <w:r w:rsidR="00550D1D" w:rsidRPr="000803C4">
        <w:rPr>
          <w:rFonts w:ascii="Times New Roman" w:eastAsia="Times New Roman" w:hAnsi="Times New Roman" w:cs="Times New Roman"/>
          <w:szCs w:val="26"/>
          <w:lang w:val="en-US" w:eastAsia="ru-RU"/>
        </w:rPr>
        <w:t>Mascarenhasa</w:t>
      </w:r>
      <w:proofErr w:type="spellEnd"/>
      <w:r w:rsidR="00550D1D" w:rsidRPr="000803C4">
        <w:rPr>
          <w:rFonts w:ascii="Times New Roman" w:eastAsia="Times New Roman" w:hAnsi="Times New Roman" w:cs="Times New Roman"/>
          <w:szCs w:val="26"/>
          <w:lang w:val="en-US" w:eastAsia="ru-RU"/>
        </w:rPr>
        <w:t xml:space="preserve">,., Mark L. </w:t>
      </w:r>
      <w:proofErr w:type="spellStart"/>
      <w:r w:rsidR="00550D1D" w:rsidRPr="000803C4">
        <w:rPr>
          <w:rFonts w:ascii="Times New Roman" w:eastAsia="Times New Roman" w:hAnsi="Times New Roman" w:cs="Times New Roman"/>
          <w:szCs w:val="26"/>
          <w:lang w:val="en-US" w:eastAsia="ru-RU"/>
        </w:rPr>
        <w:t>Heaneyb</w:t>
      </w:r>
      <w:proofErr w:type="spellEnd"/>
      <w:r w:rsidR="00550D1D" w:rsidRPr="000803C4">
        <w:rPr>
          <w:rFonts w:ascii="Times New Roman" w:eastAsia="Times New Roman" w:hAnsi="Times New Roman" w:cs="Times New Roman"/>
          <w:szCs w:val="26"/>
          <w:lang w:val="en-US" w:eastAsia="ru-RU"/>
        </w:rPr>
        <w:t xml:space="preserve">, </w:t>
      </w:r>
      <w:proofErr w:type="spellStart"/>
      <w:r w:rsidR="00550D1D" w:rsidRPr="000803C4">
        <w:rPr>
          <w:rFonts w:ascii="Times New Roman" w:eastAsia="Times New Roman" w:hAnsi="Times New Roman" w:cs="Times New Roman"/>
          <w:szCs w:val="26"/>
          <w:lang w:val="en-US" w:eastAsia="ru-RU"/>
        </w:rPr>
        <w:t>Vesna</w:t>
      </w:r>
      <w:proofErr w:type="spellEnd"/>
      <w:r w:rsidR="00550D1D" w:rsidRPr="000803C4">
        <w:rPr>
          <w:rFonts w:ascii="Times New Roman" w:eastAsia="Times New Roman" w:hAnsi="Times New Roman" w:cs="Times New Roman"/>
          <w:szCs w:val="26"/>
          <w:lang w:val="en-US" w:eastAsia="ru-RU"/>
        </w:rPr>
        <w:t xml:space="preserve"> </w:t>
      </w:r>
      <w:proofErr w:type="spellStart"/>
      <w:r w:rsidR="00550D1D" w:rsidRPr="000803C4">
        <w:rPr>
          <w:rFonts w:ascii="Times New Roman" w:eastAsia="Times New Roman" w:hAnsi="Times New Roman" w:cs="Times New Roman"/>
          <w:szCs w:val="26"/>
          <w:lang w:val="en-US" w:eastAsia="ru-RU"/>
        </w:rPr>
        <w:t>Najfelda</w:t>
      </w:r>
      <w:proofErr w:type="spellEnd"/>
      <w:r w:rsidR="00550D1D" w:rsidRPr="000803C4">
        <w:rPr>
          <w:rFonts w:ascii="Times New Roman" w:eastAsia="Times New Roman" w:hAnsi="Times New Roman" w:cs="Times New Roman"/>
          <w:szCs w:val="26"/>
          <w:lang w:val="en-US" w:eastAsia="ru-RU"/>
        </w:rPr>
        <w:t xml:space="preserve"> Proposed criteria for response assessment in patients treated in clinical trials for myeloproliferative neoplasms in blast phase (MPN-BP): Formal recommendations from the post-myeloproliferative neoplasm acute myeloid leukemia consortium. Leukemia</w:t>
      </w:r>
      <w:r w:rsidR="00550D1D"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 </w:t>
      </w:r>
      <w:r w:rsidR="00550D1D" w:rsidRPr="000803C4">
        <w:rPr>
          <w:rFonts w:ascii="Times New Roman" w:eastAsia="Times New Roman" w:hAnsi="Times New Roman" w:cs="Times New Roman"/>
          <w:szCs w:val="26"/>
          <w:lang w:val="en-US" w:eastAsia="ru-RU"/>
        </w:rPr>
        <w:t>Research</w:t>
      </w:r>
      <w:r w:rsidR="00550D1D"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 </w:t>
      </w:r>
      <w:r w:rsidR="00550D1D" w:rsidRPr="000803C4">
        <w:rPr>
          <w:rFonts w:ascii="Times New Roman" w:eastAsia="Times New Roman" w:hAnsi="Times New Roman" w:cs="Times New Roman"/>
          <w:szCs w:val="26"/>
          <w:lang w:val="en-US" w:eastAsia="ru-RU"/>
        </w:rPr>
        <w:t>Volume</w:t>
      </w:r>
      <w:r w:rsidR="00550D1D"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 36, </w:t>
      </w:r>
      <w:r w:rsidR="00550D1D" w:rsidRPr="000803C4">
        <w:rPr>
          <w:rFonts w:ascii="Times New Roman" w:eastAsia="Times New Roman" w:hAnsi="Times New Roman" w:cs="Times New Roman"/>
          <w:szCs w:val="26"/>
          <w:lang w:val="en-US" w:eastAsia="ru-RU"/>
        </w:rPr>
        <w:t>Issue</w:t>
      </w:r>
      <w:r w:rsidR="00550D1D"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 </w:t>
      </w:r>
      <w:proofErr w:type="gramStart"/>
      <w:r w:rsidR="00550D1D" w:rsidRPr="000803C4">
        <w:rPr>
          <w:rFonts w:ascii="Times New Roman" w:eastAsia="Times New Roman" w:hAnsi="Times New Roman" w:cs="Times New Roman"/>
          <w:szCs w:val="26"/>
          <w:lang w:eastAsia="ru-RU"/>
        </w:rPr>
        <w:t>12 ,</w:t>
      </w:r>
      <w:proofErr w:type="gramEnd"/>
      <w:r w:rsidR="00550D1D"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 </w:t>
      </w:r>
      <w:r w:rsidR="00550D1D" w:rsidRPr="000803C4">
        <w:rPr>
          <w:rFonts w:ascii="Times New Roman" w:eastAsia="Times New Roman" w:hAnsi="Times New Roman" w:cs="Times New Roman"/>
          <w:szCs w:val="26"/>
          <w:lang w:val="en-US" w:eastAsia="ru-RU"/>
        </w:rPr>
        <w:t>Pages</w:t>
      </w:r>
      <w:r w:rsidR="00550D1D"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 1500-1504, </w:t>
      </w:r>
      <w:r w:rsidR="00550D1D" w:rsidRPr="000803C4">
        <w:rPr>
          <w:rFonts w:ascii="Times New Roman" w:eastAsia="Times New Roman" w:hAnsi="Times New Roman" w:cs="Times New Roman"/>
          <w:szCs w:val="26"/>
          <w:lang w:val="en-US" w:eastAsia="ru-RU"/>
        </w:rPr>
        <w:t>December</w:t>
      </w:r>
      <w:r w:rsidR="00550D1D"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 2012</w:t>
      </w:r>
    </w:p>
    <w:p w:rsidR="000803C4" w:rsidRDefault="003D62F8" w:rsidP="000803C4">
      <w:pPr>
        <w:spacing w:after="0" w:line="240" w:lineRule="auto"/>
        <w:ind w:right="20" w:hanging="349"/>
        <w:jc w:val="both"/>
        <w:rPr>
          <w:rFonts w:ascii="Times New Roman" w:eastAsia="Times New Roman" w:hAnsi="Times New Roman" w:cs="Times New Roman"/>
          <w:szCs w:val="26"/>
          <w:lang w:eastAsia="ru-RU"/>
        </w:rPr>
      </w:pPr>
      <w:r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   </w:t>
      </w:r>
      <w:r w:rsidR="000803C4">
        <w:rPr>
          <w:rFonts w:ascii="Times New Roman" w:eastAsia="Times New Roman" w:hAnsi="Times New Roman" w:cs="Times New Roman"/>
          <w:szCs w:val="26"/>
          <w:lang w:eastAsia="ru-RU"/>
        </w:rPr>
        <w:t xml:space="preserve"> </w:t>
      </w:r>
    </w:p>
    <w:p w:rsidR="003D62F8" w:rsidRPr="000803C4" w:rsidRDefault="000803C4" w:rsidP="000803C4">
      <w:pPr>
        <w:spacing w:after="0" w:line="240" w:lineRule="auto"/>
        <w:ind w:right="20" w:hanging="349"/>
        <w:jc w:val="both"/>
        <w:rPr>
          <w:rFonts w:ascii="Times New Roman" w:eastAsia="Times New Roman" w:hAnsi="Times New Roman" w:cs="Times New Roman"/>
          <w:szCs w:val="26"/>
          <w:lang w:eastAsia="ru-RU"/>
        </w:rPr>
      </w:pPr>
      <w:r>
        <w:rPr>
          <w:rFonts w:ascii="Times New Roman" w:eastAsia="Times New Roman" w:hAnsi="Times New Roman" w:cs="Times New Roman"/>
          <w:szCs w:val="26"/>
          <w:lang w:eastAsia="ru-RU"/>
        </w:rPr>
        <w:t xml:space="preserve">    </w:t>
      </w:r>
      <w:r w:rsidR="003D62F8"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  </w:t>
      </w:r>
      <w:r w:rsidR="0046004E"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28. Клинические рекомендации по диагностике и терапии </w:t>
      </w:r>
      <w:proofErr w:type="spellStart"/>
      <w:r w:rsidR="0046004E" w:rsidRPr="000803C4">
        <w:rPr>
          <w:rFonts w:ascii="Times New Roman" w:eastAsia="Times New Roman" w:hAnsi="Times New Roman" w:cs="Times New Roman"/>
          <w:szCs w:val="26"/>
          <w:lang w:val="en-US" w:eastAsia="ru-RU"/>
        </w:rPr>
        <w:t>Ph</w:t>
      </w:r>
      <w:proofErr w:type="spellEnd"/>
      <w:r w:rsidR="0046004E"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-негативных </w:t>
      </w:r>
      <w:proofErr w:type="spellStart"/>
      <w:r w:rsidR="0046004E" w:rsidRPr="000803C4">
        <w:rPr>
          <w:rFonts w:ascii="Times New Roman" w:eastAsia="Times New Roman" w:hAnsi="Times New Roman" w:cs="Times New Roman"/>
          <w:szCs w:val="26"/>
          <w:lang w:eastAsia="ru-RU"/>
        </w:rPr>
        <w:t>миелопролиферативных</w:t>
      </w:r>
      <w:proofErr w:type="spellEnd"/>
      <w:r w:rsidR="0046004E"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 заболеваний (истинная полицитемия, </w:t>
      </w:r>
      <w:proofErr w:type="spellStart"/>
      <w:r w:rsidR="0046004E" w:rsidRPr="000803C4">
        <w:rPr>
          <w:rFonts w:ascii="Times New Roman" w:eastAsia="Times New Roman" w:hAnsi="Times New Roman" w:cs="Times New Roman"/>
          <w:szCs w:val="26"/>
          <w:lang w:eastAsia="ru-RU"/>
        </w:rPr>
        <w:t>эссенциальная</w:t>
      </w:r>
      <w:proofErr w:type="spellEnd"/>
      <w:r w:rsidR="0046004E"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 тромбоцитемия, первичный </w:t>
      </w:r>
      <w:proofErr w:type="spellStart"/>
      <w:r w:rsidR="0046004E" w:rsidRPr="000803C4">
        <w:rPr>
          <w:rFonts w:ascii="Times New Roman" w:eastAsia="Times New Roman" w:hAnsi="Times New Roman" w:cs="Times New Roman"/>
          <w:szCs w:val="26"/>
          <w:lang w:eastAsia="ru-RU"/>
        </w:rPr>
        <w:t>миелофиброз</w:t>
      </w:r>
      <w:proofErr w:type="spellEnd"/>
      <w:r w:rsidR="0046004E"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). 2014 г. </w:t>
      </w:r>
      <w:proofErr w:type="spellStart"/>
      <w:proofErr w:type="gramStart"/>
      <w:r w:rsidR="0046004E" w:rsidRPr="000803C4">
        <w:rPr>
          <w:rFonts w:ascii="Times New Roman" w:eastAsia="Times New Roman" w:hAnsi="Times New Roman" w:cs="Times New Roman"/>
          <w:szCs w:val="26"/>
          <w:lang w:eastAsia="ru-RU"/>
        </w:rPr>
        <w:t>Стр</w:t>
      </w:r>
      <w:proofErr w:type="spellEnd"/>
      <w:proofErr w:type="gramEnd"/>
      <w:r w:rsidR="0046004E"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 12-22</w:t>
      </w:r>
      <w:r w:rsidR="007566D0" w:rsidRPr="000803C4">
        <w:rPr>
          <w:rFonts w:ascii="Times New Roman" w:eastAsia="Times New Roman" w:hAnsi="Times New Roman" w:cs="Times New Roman"/>
          <w:szCs w:val="26"/>
          <w:lang w:eastAsia="ru-RU"/>
        </w:rPr>
        <w:t>, 67-75.</w:t>
      </w:r>
    </w:p>
    <w:p w:rsidR="000803C4" w:rsidRDefault="007566D0" w:rsidP="00E81780">
      <w:pPr>
        <w:spacing w:after="0" w:line="240" w:lineRule="auto"/>
        <w:ind w:right="20" w:hanging="349"/>
        <w:jc w:val="both"/>
        <w:rPr>
          <w:rFonts w:ascii="Times New Roman" w:eastAsia="Times New Roman" w:hAnsi="Times New Roman" w:cs="Times New Roman"/>
          <w:szCs w:val="26"/>
          <w:lang w:eastAsia="ru-RU"/>
        </w:rPr>
      </w:pPr>
      <w:r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     </w:t>
      </w:r>
    </w:p>
    <w:p w:rsidR="007566D0" w:rsidRPr="000803C4" w:rsidRDefault="000803C4" w:rsidP="000803C4">
      <w:pPr>
        <w:spacing w:after="0" w:line="240" w:lineRule="auto"/>
        <w:ind w:right="20" w:hanging="349"/>
        <w:jc w:val="both"/>
        <w:rPr>
          <w:rFonts w:ascii="Times New Roman" w:eastAsia="Times New Roman" w:hAnsi="Times New Roman" w:cs="Times New Roman"/>
          <w:szCs w:val="26"/>
          <w:lang w:eastAsia="ru-RU"/>
        </w:rPr>
      </w:pPr>
      <w:r>
        <w:rPr>
          <w:rFonts w:ascii="Times New Roman" w:eastAsia="Times New Roman" w:hAnsi="Times New Roman" w:cs="Times New Roman"/>
          <w:szCs w:val="26"/>
          <w:lang w:eastAsia="ru-RU"/>
        </w:rPr>
        <w:t xml:space="preserve">      </w:t>
      </w:r>
      <w:r w:rsidR="007566D0" w:rsidRPr="000803C4">
        <w:rPr>
          <w:rFonts w:ascii="Times New Roman" w:eastAsia="Times New Roman" w:hAnsi="Times New Roman" w:cs="Times New Roman"/>
          <w:szCs w:val="26"/>
          <w:lang w:eastAsia="ru-RU"/>
        </w:rPr>
        <w:t xml:space="preserve"> 29. Рукавицын О.А. Гематология: национальное руководство/ под ред. О.А. </w:t>
      </w:r>
      <w:proofErr w:type="spellStart"/>
      <w:r w:rsidR="007566D0" w:rsidRPr="000803C4">
        <w:rPr>
          <w:rFonts w:ascii="Times New Roman" w:eastAsia="Times New Roman" w:hAnsi="Times New Roman" w:cs="Times New Roman"/>
          <w:szCs w:val="26"/>
          <w:lang w:eastAsia="ru-RU"/>
        </w:rPr>
        <w:t>Рукавицена</w:t>
      </w:r>
      <w:proofErr w:type="spellEnd"/>
      <w:r w:rsidR="007566D0" w:rsidRPr="000803C4">
        <w:rPr>
          <w:rFonts w:ascii="Times New Roman" w:eastAsia="Times New Roman" w:hAnsi="Times New Roman" w:cs="Times New Roman"/>
          <w:szCs w:val="26"/>
          <w:lang w:eastAsia="ru-RU"/>
        </w:rPr>
        <w:t>-М.: ГЭОТАР-Медиа, 2015.-с. 337-345</w:t>
      </w:r>
    </w:p>
    <w:p w:rsidR="00855CA9" w:rsidRPr="000803C4" w:rsidRDefault="00855CA9" w:rsidP="00CB485A">
      <w:pPr>
        <w:spacing w:after="0" w:line="240" w:lineRule="auto"/>
        <w:rPr>
          <w:rFonts w:ascii="Times New Roman" w:eastAsia="Times New Roman" w:hAnsi="Times New Roman" w:cs="Times New Roman"/>
          <w:szCs w:val="26"/>
          <w:lang w:eastAsia="ru-RU"/>
        </w:rPr>
      </w:pPr>
    </w:p>
    <w:p w:rsidR="00AF1EDB" w:rsidRPr="0046004E" w:rsidRDefault="00AF1EDB" w:rsidP="004E087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F1EDB" w:rsidRPr="0046004E" w:rsidSect="0029247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163" w:rsidRDefault="004A0163" w:rsidP="004E0876">
      <w:pPr>
        <w:spacing w:after="0" w:line="240" w:lineRule="auto"/>
      </w:pPr>
      <w:r>
        <w:separator/>
      </w:r>
    </w:p>
  </w:endnote>
  <w:endnote w:type="continuationSeparator" w:id="0">
    <w:p w:rsidR="004A0163" w:rsidRDefault="004A0163" w:rsidP="004E0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386262"/>
      <w:docPartObj>
        <w:docPartGallery w:val="Page Numbers (Bottom of Page)"/>
        <w:docPartUnique/>
      </w:docPartObj>
    </w:sdtPr>
    <w:sdtEndPr/>
    <w:sdtContent>
      <w:p w:rsidR="00B84C55" w:rsidRDefault="00B84C5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861">
          <w:rPr>
            <w:noProof/>
          </w:rPr>
          <w:t>2</w:t>
        </w:r>
        <w:r>
          <w:fldChar w:fldCharType="end"/>
        </w:r>
      </w:p>
    </w:sdtContent>
  </w:sdt>
  <w:p w:rsidR="00B84C55" w:rsidRDefault="00B84C5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163" w:rsidRDefault="004A0163" w:rsidP="004E0876">
      <w:pPr>
        <w:spacing w:after="0" w:line="240" w:lineRule="auto"/>
      </w:pPr>
      <w:r>
        <w:separator/>
      </w:r>
    </w:p>
  </w:footnote>
  <w:footnote w:type="continuationSeparator" w:id="0">
    <w:p w:rsidR="004A0163" w:rsidRDefault="004A0163" w:rsidP="004E0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2463B9EA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5E884ADC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A"/>
    <w:multiLevelType w:val="hybridMultilevel"/>
    <w:tmpl w:val="3DC240FA"/>
    <w:lvl w:ilvl="0" w:tplc="FFFFFFFF">
      <w:start w:val="4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3F"/>
    <w:multiLevelType w:val="hybridMultilevel"/>
    <w:tmpl w:val="6590700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40"/>
    <w:multiLevelType w:val="hybridMultilevel"/>
    <w:tmpl w:val="15014AC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41"/>
    <w:multiLevelType w:val="hybridMultilevel"/>
    <w:tmpl w:val="5F5E7FD0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4A"/>
    <w:multiLevelType w:val="hybridMultilevel"/>
    <w:tmpl w:val="540A471C"/>
    <w:lvl w:ilvl="0" w:tplc="FFFFFFFF">
      <w:start w:val="8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937258E"/>
    <w:multiLevelType w:val="hybridMultilevel"/>
    <w:tmpl w:val="FB882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0353AD"/>
    <w:multiLevelType w:val="hybridMultilevel"/>
    <w:tmpl w:val="5BC06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040247"/>
    <w:multiLevelType w:val="hybridMultilevel"/>
    <w:tmpl w:val="36F83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361286"/>
    <w:multiLevelType w:val="hybridMultilevel"/>
    <w:tmpl w:val="41DC1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B270F"/>
    <w:multiLevelType w:val="hybridMultilevel"/>
    <w:tmpl w:val="37D8B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D5A4A"/>
    <w:multiLevelType w:val="hybridMultilevel"/>
    <w:tmpl w:val="C80CFCBA"/>
    <w:lvl w:ilvl="0" w:tplc="43BE4306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0E920B5"/>
    <w:multiLevelType w:val="hybridMultilevel"/>
    <w:tmpl w:val="D5FCA344"/>
    <w:lvl w:ilvl="0" w:tplc="0419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335A7A"/>
    <w:multiLevelType w:val="hybridMultilevel"/>
    <w:tmpl w:val="7F16F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2704BC"/>
    <w:multiLevelType w:val="hybridMultilevel"/>
    <w:tmpl w:val="919CA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11C38"/>
    <w:multiLevelType w:val="hybridMultilevel"/>
    <w:tmpl w:val="A3E27F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D6072D"/>
    <w:multiLevelType w:val="hybridMultilevel"/>
    <w:tmpl w:val="EFEA7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5"/>
  </w:num>
  <w:num w:numId="4">
    <w:abstractNumId w:val="17"/>
  </w:num>
  <w:num w:numId="5">
    <w:abstractNumId w:val="10"/>
  </w:num>
  <w:num w:numId="6">
    <w:abstractNumId w:val="14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"/>
  </w:num>
  <w:num w:numId="12">
    <w:abstractNumId w:val="3"/>
  </w:num>
  <w:num w:numId="13">
    <w:abstractNumId w:val="4"/>
  </w:num>
  <w:num w:numId="14">
    <w:abstractNumId w:val="5"/>
  </w:num>
  <w:num w:numId="15">
    <w:abstractNumId w:val="12"/>
  </w:num>
  <w:num w:numId="16">
    <w:abstractNumId w:val="6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DB"/>
    <w:rsid w:val="00012307"/>
    <w:rsid w:val="00017465"/>
    <w:rsid w:val="00043F4C"/>
    <w:rsid w:val="00053AFF"/>
    <w:rsid w:val="0005553B"/>
    <w:rsid w:val="00063480"/>
    <w:rsid w:val="000803C4"/>
    <w:rsid w:val="000A6916"/>
    <w:rsid w:val="00115CA0"/>
    <w:rsid w:val="00181404"/>
    <w:rsid w:val="00182549"/>
    <w:rsid w:val="001864C9"/>
    <w:rsid w:val="001A6F3C"/>
    <w:rsid w:val="001D073B"/>
    <w:rsid w:val="001D073C"/>
    <w:rsid w:val="001E493D"/>
    <w:rsid w:val="00247B0F"/>
    <w:rsid w:val="0029247D"/>
    <w:rsid w:val="002D0828"/>
    <w:rsid w:val="002F5CCF"/>
    <w:rsid w:val="00333423"/>
    <w:rsid w:val="003722BA"/>
    <w:rsid w:val="00392F3B"/>
    <w:rsid w:val="003A2021"/>
    <w:rsid w:val="003A6846"/>
    <w:rsid w:val="003D62F8"/>
    <w:rsid w:val="00405646"/>
    <w:rsid w:val="004234A4"/>
    <w:rsid w:val="00432471"/>
    <w:rsid w:val="00440E4C"/>
    <w:rsid w:val="0046004E"/>
    <w:rsid w:val="00460861"/>
    <w:rsid w:val="0046412C"/>
    <w:rsid w:val="00473B99"/>
    <w:rsid w:val="00495B96"/>
    <w:rsid w:val="004A0163"/>
    <w:rsid w:val="004B6C97"/>
    <w:rsid w:val="004C035F"/>
    <w:rsid w:val="004E0876"/>
    <w:rsid w:val="00500CA3"/>
    <w:rsid w:val="00502021"/>
    <w:rsid w:val="005100CD"/>
    <w:rsid w:val="005133E7"/>
    <w:rsid w:val="00520E6F"/>
    <w:rsid w:val="00527C0A"/>
    <w:rsid w:val="00550D1D"/>
    <w:rsid w:val="00591A2A"/>
    <w:rsid w:val="00593C69"/>
    <w:rsid w:val="005A57D8"/>
    <w:rsid w:val="00634593"/>
    <w:rsid w:val="00680E5D"/>
    <w:rsid w:val="00683EBA"/>
    <w:rsid w:val="006B680A"/>
    <w:rsid w:val="00716971"/>
    <w:rsid w:val="00727178"/>
    <w:rsid w:val="00732A0A"/>
    <w:rsid w:val="00735413"/>
    <w:rsid w:val="007566D0"/>
    <w:rsid w:val="00762621"/>
    <w:rsid w:val="00762FC8"/>
    <w:rsid w:val="007671AE"/>
    <w:rsid w:val="00775A44"/>
    <w:rsid w:val="00775DEA"/>
    <w:rsid w:val="00780CA4"/>
    <w:rsid w:val="007D5B3B"/>
    <w:rsid w:val="007E675D"/>
    <w:rsid w:val="007F141D"/>
    <w:rsid w:val="00833C19"/>
    <w:rsid w:val="00850E04"/>
    <w:rsid w:val="00850FF6"/>
    <w:rsid w:val="00855CA9"/>
    <w:rsid w:val="008D103B"/>
    <w:rsid w:val="008F5669"/>
    <w:rsid w:val="00902456"/>
    <w:rsid w:val="009149B8"/>
    <w:rsid w:val="009474D4"/>
    <w:rsid w:val="00962CE5"/>
    <w:rsid w:val="009678C0"/>
    <w:rsid w:val="00981EA6"/>
    <w:rsid w:val="009A18A1"/>
    <w:rsid w:val="009E46E4"/>
    <w:rsid w:val="009F1B27"/>
    <w:rsid w:val="00A01535"/>
    <w:rsid w:val="00A211D7"/>
    <w:rsid w:val="00A323C7"/>
    <w:rsid w:val="00A33329"/>
    <w:rsid w:val="00A34DD1"/>
    <w:rsid w:val="00A75934"/>
    <w:rsid w:val="00AA0337"/>
    <w:rsid w:val="00AE3C8D"/>
    <w:rsid w:val="00AF1EDB"/>
    <w:rsid w:val="00B00810"/>
    <w:rsid w:val="00B2232F"/>
    <w:rsid w:val="00B26F78"/>
    <w:rsid w:val="00B84C55"/>
    <w:rsid w:val="00BA0614"/>
    <w:rsid w:val="00C526B8"/>
    <w:rsid w:val="00C84FC6"/>
    <w:rsid w:val="00C9565A"/>
    <w:rsid w:val="00CB485A"/>
    <w:rsid w:val="00CC6B06"/>
    <w:rsid w:val="00D15098"/>
    <w:rsid w:val="00D73FE3"/>
    <w:rsid w:val="00DA4BF7"/>
    <w:rsid w:val="00DE34FB"/>
    <w:rsid w:val="00E023B8"/>
    <w:rsid w:val="00E5692C"/>
    <w:rsid w:val="00E65D23"/>
    <w:rsid w:val="00E81780"/>
    <w:rsid w:val="00E92F3F"/>
    <w:rsid w:val="00EC147E"/>
    <w:rsid w:val="00EF42A8"/>
    <w:rsid w:val="00F55644"/>
    <w:rsid w:val="00FB7068"/>
    <w:rsid w:val="00FC4FBD"/>
    <w:rsid w:val="00FE258F"/>
    <w:rsid w:val="00FF1009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A4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E0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0876"/>
  </w:style>
  <w:style w:type="paragraph" w:styleId="a6">
    <w:name w:val="footer"/>
    <w:basedOn w:val="a"/>
    <w:link w:val="a7"/>
    <w:uiPriority w:val="99"/>
    <w:unhideWhenUsed/>
    <w:rsid w:val="004E0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0876"/>
  </w:style>
  <w:style w:type="table" w:styleId="a8">
    <w:name w:val="Table Grid"/>
    <w:basedOn w:val="a1"/>
    <w:uiPriority w:val="59"/>
    <w:rsid w:val="00732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84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4F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A4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E0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0876"/>
  </w:style>
  <w:style w:type="paragraph" w:styleId="a6">
    <w:name w:val="footer"/>
    <w:basedOn w:val="a"/>
    <w:link w:val="a7"/>
    <w:uiPriority w:val="99"/>
    <w:unhideWhenUsed/>
    <w:rsid w:val="004E0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0876"/>
  </w:style>
  <w:style w:type="table" w:styleId="a8">
    <w:name w:val="Table Grid"/>
    <w:basedOn w:val="a1"/>
    <w:uiPriority w:val="59"/>
    <w:rsid w:val="00732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84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4F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7481</Words>
  <Characters>42645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Кафедра</cp:lastModifiedBy>
  <cp:revision>6</cp:revision>
  <cp:lastPrinted>2017-05-26T11:20:00Z</cp:lastPrinted>
  <dcterms:created xsi:type="dcterms:W3CDTF">2017-04-10T17:52:00Z</dcterms:created>
  <dcterms:modified xsi:type="dcterms:W3CDTF">2017-07-07T08:05:00Z</dcterms:modified>
</cp:coreProperties>
</file>