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86" w:rsidRPr="005D1C86" w:rsidRDefault="005D1C86" w:rsidP="005D1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</w:t>
      </w:r>
      <w:r w:rsidRPr="005D1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5D1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продвижения программы на рынке образовательных услуг.</w:t>
      </w:r>
    </w:p>
    <w:p w:rsidR="005D1C86" w:rsidRPr="005D1C86" w:rsidRDefault="005D1C86" w:rsidP="005D1C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04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534"/>
        <w:gridCol w:w="5951"/>
      </w:tblGrid>
      <w:tr w:rsidR="005D1C86" w:rsidRPr="005D1C86" w:rsidTr="005D1C86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Основные сведения для программ ДПП ПП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Специальность ПП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Специальность допуска к ПП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B67206" w:rsidP="005D1C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ОВП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Год разработки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54500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бюджетная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 xml:space="preserve">Дата утверждения программы </w:t>
            </w:r>
            <w:proofErr w:type="spellStart"/>
            <w:r w:rsidRPr="005D1C86">
              <w:rPr>
                <w:rFonts w:ascii="Times New Roman" w:hAnsi="Times New Roman"/>
                <w:sz w:val="24"/>
                <w:szCs w:val="24"/>
              </w:rPr>
              <w:t>обр.орг</w:t>
            </w:r>
            <w:proofErr w:type="spellEnd"/>
            <w:r w:rsidRPr="005D1C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Программа предусматривает  подготовку по вопросам оказания поддержки, квалифицированной медицинской помощи больным детям с различной патологией. Обучение на цикле включает курс лекций (</w:t>
            </w:r>
            <w:r w:rsidR="00B6720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сего 122 час) по диагностике, лечению и профилактике при различных заболеваниях у детей. На практических занятиях отрабатываются неотложные мероприятия и принципы ухода за больным ребенком, в том числе в </w:t>
            </w:r>
            <w:proofErr w:type="spell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симуляционном</w:t>
            </w:r>
            <w:proofErr w:type="spellEnd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центре и на тренажерах (всего 115 часов).</w:t>
            </w:r>
            <w:r w:rsidRPr="005D1C8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На семинарах слушатели обсуждают частные вопросы педиатрии и смежных дисциплин, проблемы этики и деонтологии, реабилитации и прогнозирования исхода болезни (всего 162 часов</w:t>
            </w:r>
            <w:r w:rsidR="00B67206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Во время цикла предусмотрена стажировка на рабочем месте или в отделениях РДКБ по усмотрению работодателей в объеме 99 часов. Для проведения практических занятий используется </w:t>
            </w:r>
            <w:proofErr w:type="spell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симуляционный</w:t>
            </w:r>
            <w:proofErr w:type="spellEnd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 БГМУ, фантомный класс кафедры. Во время занятий курсанты на фантомах самостоятельно под контролем преподавателя отрабатывают необходимые практические навыки. Программа рекомендует использование самостоятельной внеаудиторной работы слушателей в виде написания аттестационной работы, решения проблемно-ситуационных задач и др. Первичная переподготовка даёт право на самостоятельную врачебную деятельность в качестве врача-педиатра в условиях амбулаторно-поликлинического звена и стационаров.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Врач-педиатр должен быть  готов решать следующие профессиональные задачи: </w:t>
            </w:r>
            <w:r w:rsidRPr="005D1C86">
              <w:rPr>
                <w:rFonts w:ascii="Times New Roman" w:eastAsia="Times New Roman" w:hAnsi="Times New Roman"/>
                <w:i/>
                <w:sz w:val="24"/>
                <w:szCs w:val="24"/>
              </w:rPr>
              <w:t>профилактическая деятельность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: предупреждение возникновения заболеваний среди населения путем проведения профилактических и противоэпидемических мероприятий; проведение профилактических медицинских осмотров, диспансеризации, 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диспансерного наблюдения; анализ информации о показателях здоровья детей и </w:t>
            </w:r>
            <w:proofErr w:type="spell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подростков;</w:t>
            </w:r>
            <w:r w:rsidRPr="005D1C86">
              <w:rPr>
                <w:rFonts w:ascii="Times New Roman" w:eastAsia="Times New Roman" w:hAnsi="Times New Roman"/>
                <w:i/>
                <w:sz w:val="24"/>
                <w:szCs w:val="24"/>
              </w:rPr>
              <w:t>диагностическая</w:t>
            </w:r>
            <w:proofErr w:type="spellEnd"/>
            <w:r w:rsidRPr="005D1C8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деятельность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: диагностика заболеваний и патологических состояний пациентов на основе владения различными методами исследования; диагностика неотложных состояний; диагностика беременности; проведение медицинской экспертизы; лечебная деятельность: оказание специализированной медицинской помощи; участие в оказании скорой медицинской помощи; оказание медицинской помощи при чрезвычайных ситуациях; </w:t>
            </w:r>
            <w:r w:rsidRPr="005D1C86">
              <w:rPr>
                <w:rFonts w:ascii="Times New Roman" w:eastAsia="Times New Roman" w:hAnsi="Times New Roman"/>
                <w:i/>
                <w:sz w:val="24"/>
                <w:szCs w:val="24"/>
              </w:rPr>
              <w:t>реабилитационная деятельность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: проведение медицинской реабилитации и санаторно-курортного лечения; психолого-педагогическая деятельность: формирование у населения, пациентов и членов их семей мотивации, направленной на сохранение и укрепление своего здоровья и здоровья окружающих; </w:t>
            </w:r>
            <w:r w:rsidRPr="005D1C86">
              <w:rPr>
                <w:rFonts w:ascii="Times New Roman" w:eastAsia="Times New Roman" w:hAnsi="Times New Roman"/>
                <w:i/>
                <w:sz w:val="24"/>
                <w:szCs w:val="24"/>
              </w:rPr>
              <w:t>организационно-управленческая деятельность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: применение основных принципов организации оказания медицинской помощи в медицинских организациях; организация и управление деятельностью медицинских организаций; организация проведения медицинской экспертизы; организация оценки качества оказания медицинской помощи пациентам; ведение учетно-отчетной документации в медицинской организации; создание в медицинских организациях благоприятных условий для пребывания пациентов; соблюдение основных требований информационной безопасности.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lastRenderedPageBreak/>
              <w:t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аттестация в виде собеседования, оценка практических навыков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 xml:space="preserve">Описание новой компетенции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В результате освоения программы формируются компетенции, необходимые для выполнения нового вида профессиональной деятельности: обследование детей с целью установления диагноза; назначение лечения детям и контроль его эффективности и безопасности; реализация и контроль эффективности индивидуальных реабилитационных программ для детей; реализация и контроль эффективности индивидуальных реабилитационных программ для детей; организация деятельности медицинского персонала и ведение медицинской документации.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Кафедра педиатрии с курсом ИДПО ФГБОУ ВО БГМУ МЗ РФ, (3472) 229-08-00*1-63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D1C86">
              <w:rPr>
                <w:rFonts w:ascii="Times New Roman" w:hAnsi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5D1C86">
              <w:rPr>
                <w:rFonts w:ascii="Times New Roman" w:hAnsi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24часа, 24ЗЕТ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lastRenderedPageBreak/>
              <w:t>С применением симуляционного оборудования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b/>
                <w:sz w:val="24"/>
                <w:szCs w:val="24"/>
              </w:rPr>
              <w:t>Оснащение симуляционного центра:</w:t>
            </w:r>
          </w:p>
          <w:p w:rsidR="005D1C86" w:rsidRPr="005D1C86" w:rsidRDefault="005D1C86" w:rsidP="005D1C8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Полноростовой</w:t>
            </w:r>
            <w:proofErr w:type="spellEnd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 манекен (имитатор ребенка возраста 6-8 лет). </w:t>
            </w:r>
          </w:p>
          <w:p w:rsidR="005D1C86" w:rsidRPr="005D1C86" w:rsidRDefault="005D1C86" w:rsidP="005D1C8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Робот-симулятор младенца  многофункциональный. </w:t>
            </w:r>
          </w:p>
          <w:p w:rsidR="005D1C86" w:rsidRPr="005D1C86" w:rsidRDefault="005D1C86" w:rsidP="005D1C8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Робот-симулятор новорожденного многофункциональный.</w:t>
            </w:r>
          </w:p>
          <w:p w:rsidR="005D1C86" w:rsidRPr="005D1C86" w:rsidRDefault="005D1C86" w:rsidP="005D1C8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Тренажер для обучения </w:t>
            </w:r>
            <w:proofErr w:type="spell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приѐму</w:t>
            </w:r>
            <w:proofErr w:type="spellEnd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Геймлиха</w:t>
            </w:r>
            <w:proofErr w:type="spellEnd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5D1C86" w:rsidRPr="005D1C86" w:rsidRDefault="005D1C86" w:rsidP="005D1C8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Тренажер для обучения </w:t>
            </w:r>
            <w:proofErr w:type="spell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приѐму</w:t>
            </w:r>
            <w:proofErr w:type="spellEnd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Геймлиха</w:t>
            </w:r>
            <w:proofErr w:type="spellEnd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ребенку. </w:t>
            </w:r>
          </w:p>
          <w:p w:rsidR="005D1C86" w:rsidRPr="005D1C86" w:rsidRDefault="005D1C86" w:rsidP="005D1C8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Тренажер для удаления инородного тела из дыхательных путей младенцу. </w:t>
            </w:r>
          </w:p>
          <w:p w:rsidR="005D1C86" w:rsidRPr="005D1C86" w:rsidRDefault="005D1C86" w:rsidP="005D1C86">
            <w:pPr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Тренажер для дренирования грудной клетки.</w:t>
            </w:r>
          </w:p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Муляж младенца 3-4 месяцев (для кабинета педиатра)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6" w:rsidRPr="005D1C86" w:rsidRDefault="005D1C86" w:rsidP="005D1C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Задачами </w:t>
            </w:r>
            <w:r w:rsidRPr="005D1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цикла симуляционного курса являются: </w:t>
            </w:r>
          </w:p>
          <w:p w:rsidR="005D1C86" w:rsidRPr="005D1C86" w:rsidRDefault="005D1C86" w:rsidP="005D1C86">
            <w:pPr>
              <w:autoSpaceDE w:val="0"/>
              <w:autoSpaceDN w:val="0"/>
              <w:adjustRightInd w:val="0"/>
              <w:spacing w:after="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color w:val="000000"/>
                <w:sz w:val="24"/>
                <w:szCs w:val="24"/>
              </w:rPr>
              <w:sym w:font="Times New Roman" w:char="F0BE"/>
            </w:r>
            <w:r w:rsidRPr="005D1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приобретение, систематизация и закрепление знаний, умений и навыков, необходимых в работе врача по специальности; </w:t>
            </w:r>
          </w:p>
          <w:p w:rsidR="005D1C86" w:rsidRPr="005D1C86" w:rsidRDefault="005D1C86" w:rsidP="005D1C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color w:val="000000"/>
                <w:sz w:val="24"/>
                <w:szCs w:val="24"/>
              </w:rPr>
              <w:sym w:font="Times New Roman" w:char="F0BE"/>
            </w:r>
            <w:r w:rsidRPr="005D1C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овладение набором профессиональных компетенций в соответствии с квалификационной характеристикой необходимых для работы в профессиональной сфере. </w:t>
            </w:r>
          </w:p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1C86">
              <w:rPr>
                <w:rFonts w:ascii="Times New Roman" w:hAnsi="Times New Roman"/>
                <w:b/>
                <w:sz w:val="24"/>
                <w:szCs w:val="24"/>
              </w:rPr>
              <w:t xml:space="preserve">Стажировка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99 часов, 99 ЗЕТ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- 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совершенствования 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качества оказания медицинской помощи детям и подросткам на основе оптимизации процессов и устранения потерь;</w:t>
            </w:r>
          </w:p>
          <w:p w:rsidR="005D1C86" w:rsidRPr="005D1C86" w:rsidRDefault="005D1C86" w:rsidP="005D1C86">
            <w:pPr>
              <w:ind w:firstLine="708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-освоение профессиональных практических навыков, необходимых для участия в реализации мероприятий, направленных на формирование здорового образа жизни у детей и подростков;</w:t>
            </w:r>
          </w:p>
          <w:p w:rsidR="005D1C86" w:rsidRPr="005D1C86" w:rsidRDefault="005D1C86" w:rsidP="005D1C8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и приобре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</w:t>
            </w:r>
            <w:proofErr w:type="gram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профилактики болезней</w:t>
            </w:r>
            <w:proofErr w:type="gramEnd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 связанных с нарушениями пищевого поведения и </w:t>
            </w:r>
            <w:proofErr w:type="spellStart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нутритивного</w:t>
            </w:r>
            <w:proofErr w:type="spellEnd"/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 статуса;</w:t>
            </w:r>
          </w:p>
          <w:p w:rsidR="005D1C86" w:rsidRPr="005D1C86" w:rsidRDefault="005D1C86" w:rsidP="005D1C8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т</w:t>
            </w:r>
            <w:r w:rsidRPr="005D1C86">
              <w:rPr>
                <w:rFonts w:ascii="Times New Roman" w:eastAsia="Times New Roman" w:hAnsi="Times New Roman"/>
                <w:b/>
                <w:sz w:val="24"/>
                <w:szCs w:val="24"/>
              </w:rPr>
              <w:t>рудовых действий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 xml:space="preserve">  и приобре</w:t>
            </w: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неонатальных состояний и заболеваний;</w:t>
            </w:r>
          </w:p>
          <w:p w:rsidR="005D1C86" w:rsidRPr="005D1C86" w:rsidRDefault="005D1C86" w:rsidP="005D1C86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Совершенствование практических навыков по вопросам по всем частным вопросам педиатрии для самостоятельной работы в должности врача-педиатра:</w:t>
            </w:r>
          </w:p>
          <w:p w:rsidR="005D1C86" w:rsidRPr="005D1C86" w:rsidRDefault="005D1C86" w:rsidP="005D1C86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eastAsia="Times New Roman" w:hAnsi="Times New Roman"/>
                <w:sz w:val="24"/>
                <w:szCs w:val="24"/>
              </w:rPr>
              <w:t>Практическое освоение ключевых вопросов паллиативной медицинской помощи неизлечимым больным, необходимых для практической деятельности врача в соответствии с профилем специальности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lastRenderedPageBreak/>
              <w:t>Место проведения стажировки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4C" w:rsidRDefault="005D1C86" w:rsidP="007C354C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РДКБ, РКЦ</w:t>
            </w:r>
            <w:r w:rsidR="007C3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7C354C">
              <w:rPr>
                <w:rFonts w:ascii="Times New Roman" w:hAnsi="Times New Roman"/>
                <w:sz w:val="24"/>
                <w:szCs w:val="24"/>
              </w:rPr>
              <w:t xml:space="preserve">ГБУЗ </w:t>
            </w:r>
            <w:r w:rsidR="007C354C" w:rsidRPr="006648FB">
              <w:rPr>
                <w:rFonts w:ascii="Times New Roman" w:hAnsi="Times New Roman"/>
                <w:sz w:val="24"/>
                <w:szCs w:val="24"/>
              </w:rPr>
              <w:t>РДКБ,</w:t>
            </w:r>
            <w:r w:rsidR="007C354C">
              <w:rPr>
                <w:rFonts w:ascii="Times New Roman" w:hAnsi="Times New Roman"/>
                <w:sz w:val="24"/>
                <w:szCs w:val="24"/>
              </w:rPr>
              <w:t xml:space="preserve"> г. Уфа, улица Степана Кувыкина, 98</w:t>
            </w:r>
          </w:p>
          <w:bookmarkEnd w:id="0"/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Профессор Ширяева Г.П.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1C86">
              <w:rPr>
                <w:rFonts w:ascii="Times New Roman" w:hAnsi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159часов, 159 ЗЕТ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 xml:space="preserve">Используемые виды синхронного обучения (очная форма) (вебинар, видеоконференция, </w:t>
            </w:r>
            <w:proofErr w:type="spellStart"/>
            <w:r w:rsidRPr="005D1C86">
              <w:rPr>
                <w:rFonts w:ascii="Times New Roman" w:hAnsi="Times New Roman"/>
                <w:sz w:val="24"/>
                <w:szCs w:val="24"/>
              </w:rPr>
              <w:t>аудиоконференция</w:t>
            </w:r>
            <w:proofErr w:type="spellEnd"/>
            <w:r w:rsidRPr="005D1C86">
              <w:rPr>
                <w:rFonts w:ascii="Times New Roman" w:hAnsi="Times New Roman"/>
                <w:sz w:val="24"/>
                <w:szCs w:val="24"/>
              </w:rPr>
              <w:t>, онлайн-чат, виртуальная доска, виртуальный класс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</w:p>
          <w:p w:rsidR="0027224D" w:rsidRPr="005D1C86" w:rsidRDefault="0027224D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695271">
              <w:rPr>
                <w:rFonts w:ascii="Times New Roman" w:hAnsi="Times New Roman"/>
              </w:rPr>
              <w:t xml:space="preserve">Дистанционное обучение реализуется через платформу </w:t>
            </w:r>
            <w:r>
              <w:rPr>
                <w:rFonts w:ascii="Times New Roman" w:hAnsi="Times New Roman"/>
              </w:rPr>
              <w:t xml:space="preserve">Учебного </w:t>
            </w:r>
            <w:proofErr w:type="gramStart"/>
            <w:r>
              <w:rPr>
                <w:rFonts w:ascii="Times New Roman" w:hAnsi="Times New Roman"/>
              </w:rPr>
              <w:t xml:space="preserve">Портала </w:t>
            </w:r>
            <w:r w:rsidRPr="006952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БГМУ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695271">
              <w:rPr>
                <w:rFonts w:ascii="Times New Roman" w:hAnsi="Times New Roman"/>
              </w:rPr>
              <w:t>(</w:t>
            </w:r>
            <w:hyperlink r:id="rId5" w:history="1">
              <w:r w:rsidRPr="006E0BB7">
                <w:rPr>
                  <w:rStyle w:val="a3"/>
                  <w:rFonts w:ascii="Times New Roman" w:hAnsi="Times New Roman"/>
                </w:rPr>
                <w:t>https://edu.bashgmu.ru/</w:t>
              </w:r>
            </w:hyperlink>
            <w:r w:rsidRPr="00695271">
              <w:rPr>
                <w:rFonts w:ascii="Times New Roman" w:hAnsi="Times New Roman"/>
              </w:rPr>
              <w:t>)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</w:rPr>
            </w:pPr>
            <w:r w:rsidRPr="005D1C86">
              <w:rPr>
                <w:rFonts w:ascii="Times New Roman" w:hAnsi="Times New Roman"/>
                <w:sz w:val="24"/>
                <w:szCs w:val="24"/>
              </w:rPr>
              <w:t>Интернет-ссылка на вход в систему дистанционного обучения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86" w:rsidRPr="005D1C86" w:rsidRDefault="00BA4268" w:rsidP="005D1C86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D1C86" w:rsidRPr="005D1C8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https://edu.bashgmu.ru/</w:t>
              </w:r>
            </w:hyperlink>
            <w:r w:rsidR="005D1C86" w:rsidRPr="005D1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1C86" w:rsidRPr="005D1C86" w:rsidTr="005D1C8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86" w:rsidRPr="005D1C86" w:rsidRDefault="005D1C86" w:rsidP="005D1C8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5D1C86" w:rsidRPr="005D1C86" w:rsidRDefault="005D1C86" w:rsidP="005D1C86">
      <w:pPr>
        <w:rPr>
          <w:rFonts w:ascii="Calibri" w:eastAsia="Times New Roman" w:hAnsi="Calibri" w:cs="Times New Roman"/>
          <w:lang w:eastAsia="ru-RU"/>
        </w:rPr>
      </w:pPr>
    </w:p>
    <w:p w:rsidR="0044292B" w:rsidRDefault="0044292B"/>
    <w:sectPr w:rsidR="0044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C7692"/>
    <w:multiLevelType w:val="hybridMultilevel"/>
    <w:tmpl w:val="78B2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C0D"/>
    <w:rsid w:val="0027224D"/>
    <w:rsid w:val="0044292B"/>
    <w:rsid w:val="005D1C86"/>
    <w:rsid w:val="007C354C"/>
    <w:rsid w:val="00AD6C0D"/>
    <w:rsid w:val="00B67206"/>
    <w:rsid w:val="00B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802D"/>
  <w15:docId w15:val="{EA923950-AD21-41CA-98DD-4FBD1D20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D1C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2722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bashgmu.ru/" TargetMode="External"/><Relationship Id="rId5" Type="http://schemas.openxmlformats.org/officeDocument/2006/relationships/hyperlink" Target="https://edu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Хисматуллина Гюльназ Ягафаровна</cp:lastModifiedBy>
  <cp:revision>3</cp:revision>
  <dcterms:created xsi:type="dcterms:W3CDTF">2022-05-25T09:39:00Z</dcterms:created>
  <dcterms:modified xsi:type="dcterms:W3CDTF">2022-05-27T10:04:00Z</dcterms:modified>
</cp:coreProperties>
</file>