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right"/>
      </w:pPr>
      <w:r>
        <w:t>УТВЕРЖДАЮ</w:t>
      </w:r>
    </w:p>
    <w:p>
      <w:pPr>
        <w:ind w:left="1134"/>
        <w:jc w:val="center"/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4074795</wp:posOffset>
            </wp:positionH>
            <wp:positionV relativeFrom="paragraph">
              <wp:posOffset>110490</wp:posOffset>
            </wp:positionV>
            <wp:extent cx="929640" cy="300990"/>
            <wp:effectExtent l="0" t="0" r="3810" b="3810"/>
            <wp:wrapNone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009" t="52173" r="40257" b="44649"/>
                    <a:stretch>
                      <a:fillRect/>
                    </a:stretch>
                  </pic:blipFill>
                  <pic:spPr>
                    <a:xfrm>
                      <a:off x="0" y="0"/>
                      <a:ext cx="929640" cy="300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                                                                      Зав. кафедрой факультетской терапии</w:t>
      </w:r>
    </w:p>
    <w:p>
      <w:pPr>
        <w:ind w:left="1134"/>
        <w:jc w:val="center"/>
      </w:pPr>
      <w:r>
        <w:t xml:space="preserve">                                                                        Профессор                     Г.Х. Мирсаева</w:t>
      </w:r>
    </w:p>
    <w:p>
      <w:pPr>
        <w:ind w:left="1134"/>
        <w:jc w:val="right"/>
      </w:pPr>
      <w:r>
        <w:t>2</w:t>
      </w:r>
      <w:r>
        <w:rPr>
          <w:rFonts w:hint="default"/>
          <w:lang w:val="ru-RU"/>
        </w:rPr>
        <w:t>9</w:t>
      </w:r>
      <w:r>
        <w:t xml:space="preserve"> августа 202</w:t>
      </w:r>
      <w:r>
        <w:rPr>
          <w:rFonts w:hint="default"/>
          <w:lang w:val="ru-RU"/>
        </w:rPr>
        <w:t>2</w:t>
      </w:r>
      <w:r>
        <w:t xml:space="preserve"> года</w:t>
      </w:r>
    </w:p>
    <w:p>
      <w:pPr>
        <w:autoSpaceDE w:val="0"/>
        <w:autoSpaceDN w:val="0"/>
        <w:adjustRightInd w:val="0"/>
        <w:rPr>
          <w:rFonts w:cs="Times New Roman"/>
          <w:b/>
          <w:bCs/>
          <w:lang w:eastAsia="en-US"/>
        </w:rPr>
      </w:pPr>
    </w:p>
    <w:p>
      <w:pPr>
        <w:autoSpaceDE w:val="0"/>
        <w:autoSpaceDN w:val="0"/>
        <w:adjustRightInd w:val="0"/>
        <w:jc w:val="center"/>
        <w:rPr>
          <w:rFonts w:cs="Times New Roman"/>
          <w:b/>
          <w:bCs/>
          <w:lang w:eastAsia="en-US"/>
        </w:rPr>
      </w:pPr>
    </w:p>
    <w:p>
      <w:pPr>
        <w:autoSpaceDE w:val="0"/>
        <w:autoSpaceDN w:val="0"/>
        <w:adjustRightInd w:val="0"/>
        <w:jc w:val="center"/>
        <w:rPr>
          <w:rFonts w:cs="Times New Roman"/>
          <w:b/>
          <w:bCs/>
          <w:lang w:eastAsia="en-US"/>
        </w:rPr>
      </w:pPr>
      <w:r>
        <w:rPr>
          <w:rFonts w:cs="Times New Roman"/>
          <w:b/>
          <w:bCs/>
          <w:lang w:eastAsia="en-US"/>
        </w:rPr>
        <w:t>ПОЛОЖЕНИЕ</w:t>
      </w:r>
    </w:p>
    <w:p>
      <w:pPr>
        <w:autoSpaceDE w:val="0"/>
        <w:autoSpaceDN w:val="0"/>
        <w:adjustRightInd w:val="0"/>
        <w:jc w:val="center"/>
        <w:rPr>
          <w:rFonts w:cs="Times New Roman"/>
          <w:bCs/>
          <w:lang w:eastAsia="en-US"/>
        </w:rPr>
      </w:pPr>
      <w:r>
        <w:rPr>
          <w:rFonts w:cs="Times New Roman"/>
          <w:bCs/>
          <w:lang w:eastAsia="en-US"/>
        </w:rPr>
        <w:t>о балльно-рейтинговой системе оценки  качества  успеваемости  обучающихся</w:t>
      </w:r>
    </w:p>
    <w:p>
      <w:pPr>
        <w:autoSpaceDE w:val="0"/>
        <w:autoSpaceDN w:val="0"/>
        <w:adjustRightInd w:val="0"/>
        <w:jc w:val="center"/>
        <w:rPr>
          <w:rFonts w:cs="Times New Roman"/>
          <w:bCs/>
          <w:lang w:eastAsia="en-US"/>
        </w:rPr>
      </w:pPr>
      <w:r>
        <w:rPr>
          <w:rFonts w:cs="Times New Roman"/>
          <w:bCs/>
          <w:lang w:eastAsia="en-US"/>
        </w:rPr>
        <w:t>на кафедре факультетской терапии ФГБОУ ВО БГМУ Минздрава России</w:t>
      </w:r>
    </w:p>
    <w:p>
      <w:pPr>
        <w:autoSpaceDE w:val="0"/>
        <w:autoSpaceDN w:val="0"/>
        <w:adjustRightInd w:val="0"/>
        <w:jc w:val="both"/>
        <w:rPr>
          <w:rFonts w:cs="Times New Roman"/>
          <w:b/>
          <w:bCs/>
          <w:lang w:eastAsia="en-US"/>
        </w:rPr>
      </w:pP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bCs/>
          <w:lang w:eastAsia="en-US"/>
        </w:rPr>
      </w:pPr>
      <w:r>
        <w:rPr>
          <w:rFonts w:cs="Times New Roman"/>
          <w:bCs/>
          <w:lang w:eastAsia="en-US"/>
        </w:rPr>
        <w:t>Оценка  качества освоения образовательных программ высшего образования в ФГБОУ ВО БГМУ Минздрава России осуществляется с помощью текущего контроля успеваемости, промежуточной аттестации обучающихся и  государственной итоговой аттестации  выпускников.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r>
        <w:rPr>
          <w:rFonts w:cs="Times New Roman"/>
          <w:bCs/>
          <w:lang w:eastAsia="en-US"/>
        </w:rPr>
        <w:t xml:space="preserve">Оценка качества освоения учебной дисциплины </w:t>
      </w:r>
      <w:bookmarkStart w:id="0" w:name="_GoBack"/>
      <w:bookmarkEnd w:id="0"/>
      <w:r>
        <w:rPr>
          <w:rFonts w:cs="Times New Roman"/>
          <w:bCs/>
          <w:lang w:eastAsia="en-US"/>
        </w:rPr>
        <w:t xml:space="preserve">«Факультетская терапия» осуществляется с помощью  текущего контроля успеваемости  и промежуточной аттестации обучающихся по окончании изучения дисциплины (модуля). </w:t>
      </w:r>
      <w:r>
        <w:rPr>
          <w:rFonts w:cs="Times New Roman"/>
          <w:lang w:eastAsia="en-US"/>
        </w:rPr>
        <w:t xml:space="preserve">С этой целью  используется балльно-рейтинговая система оценки качества образования, основанная на поэтапном оценивании различных видов деятельности, выполняемых  обучающимися в процессе освоения учебной дисциплины (модуля),  с  определением  его  общего рейтинга по сумме накопленных баллов.   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b/>
          <w:lang w:eastAsia="en-US"/>
        </w:rPr>
      </w:pPr>
    </w:p>
    <w:p>
      <w:pPr>
        <w:autoSpaceDE w:val="0"/>
        <w:autoSpaceDN w:val="0"/>
        <w:adjustRightInd w:val="0"/>
        <w:ind w:firstLine="708"/>
        <w:jc w:val="center"/>
        <w:rPr>
          <w:rFonts w:cs="Times New Roman"/>
          <w:b/>
          <w:lang w:eastAsia="en-US"/>
        </w:rPr>
      </w:pPr>
      <w:r>
        <w:rPr>
          <w:rFonts w:cs="Times New Roman"/>
          <w:b/>
          <w:lang w:eastAsia="en-US"/>
        </w:rPr>
        <w:t>Учебные компоненты  балльно-рейтинговой системы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 xml:space="preserve">1. Текущий контроль успеваемости обучающихся  осуществляется  на каждом практическом  занятии  двух семестров в соответствии с учебным планом и формированием определенных компетенций следующим образом:  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 xml:space="preserve">- проводится в форме устного опроса, тестового контроля (на бумажном или электронном носителе), контрольных письменных работ,  путем оценки качества курации больных, владения  практическими умениями и навыками, оформления  рефератов, мультимедийных презентаций, написания истории болезни, УИРС, участия в олимпиаде, выполнения самостоятельной работы; 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 xml:space="preserve">- ежедневно обучающийся оценивается  по 3 – 4 видам деятельности,  при этом   учитывается посещение  учебных занятий и своевременность выполнения заданий; 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>-результаты каждого вида учебной деятельности   оцениваются по пятибалльной системе, отражаются в журнале практических занятий, заверяются подписью преподавателя и характеризуют академическую успеваемость обучающихся;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>-преподаватель имеет право предоставлять обучающимся возможность повысить свой рейтинг за счет выполнения дополнительных заданий в сроки, установленные графиком учебного процесса.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 xml:space="preserve">2. Промежуточная аттестация проводится   в форме  трехэтапного экзамена (тестирование,  практические навыки и собеседование по программным вопросам и ситуационным задачам)  по завершении освоения дисциплины (модуля). </w:t>
      </w:r>
    </w:p>
    <w:p>
      <w:pPr>
        <w:jc w:val="both"/>
      </w:pPr>
      <w:r>
        <w:rPr>
          <w:rFonts w:cs="Times New Roman"/>
          <w:lang w:eastAsia="en-US"/>
        </w:rPr>
        <w:t xml:space="preserve">           3. Общий рейтинг обучающегося, который   определяется</w:t>
      </w:r>
      <w:r>
        <w:rPr>
          <w:rFonts w:cs="Times New Roman"/>
          <w:color w:val="984807" w:themeColor="accent6" w:themeShade="80"/>
          <w:lang w:eastAsia="en-US"/>
        </w:rPr>
        <w:t xml:space="preserve"> </w:t>
      </w:r>
      <w:r>
        <w:rPr>
          <w:rFonts w:cs="Times New Roman"/>
          <w:lang w:eastAsia="en-US"/>
        </w:rPr>
        <w:t xml:space="preserve">на основе суммы баллов, набранных  по результатам текущего контроля    и    промежуточной аттестации на экзамене   с учетом оценок  за каждый этап экзамена,  с учетом  принятых  коэффициентов  значимости и выставляется в зачетную книжку по окончании экзамена. 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 xml:space="preserve">  Максимальное количество баллов, которое соответствует полному освоению   дисциплины, составляет 100 баллов (100%). При этом   50%  баллов    приходится на </w:t>
      </w:r>
      <w:r>
        <w:rPr>
          <w:rFonts w:cs="Times New Roman"/>
          <w:color w:val="7030A0"/>
          <w:lang w:eastAsia="en-US"/>
        </w:rPr>
        <w:t>т</w:t>
      </w:r>
      <w:r>
        <w:rPr>
          <w:rFonts w:cs="Times New Roman"/>
          <w:lang w:eastAsia="en-US"/>
        </w:rPr>
        <w:t xml:space="preserve">екущий рейтинг, а 50% –  на экзамен. 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 xml:space="preserve">Текущий рейтинг (50%) включает сумму баллов, набранных обучающимися в течение всего периода изучения дисциплины (два семестра и история болезни) и </w:t>
      </w:r>
      <w:r>
        <w:rPr>
          <w:rFonts w:cs="Times New Roman"/>
          <w:color w:val="7030A0"/>
          <w:lang w:eastAsia="en-US"/>
        </w:rPr>
        <w:t xml:space="preserve">   </w:t>
      </w:r>
      <w:r>
        <w:rPr>
          <w:rFonts w:cs="Times New Roman"/>
          <w:lang w:eastAsia="en-US"/>
        </w:rPr>
        <w:t>оценивается по пятибалльной системе с учетом общего коэффициента значимости (0,5).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 xml:space="preserve">Экзаменационный рейтинг (50%) включает оценивание каждого   этапа  экзамена по пятибалльной шкале   с перерасчетом полученных оценок по принятым коэффициентам значимости  каждой составляющей итоговой оценки: результаты тестирования оцениваются   5% (коэфффициент значимости 0,05), </w:t>
      </w:r>
      <w:r>
        <w:rPr>
          <w:lang w:eastAsia="en-US"/>
        </w:rPr>
        <w:t>практические навыки – 15% (коэффициент значимости 0,15),  собеседование – 30% (коэффициент значимости 0,3).</w:t>
      </w:r>
      <w:r>
        <w:rPr>
          <w:rFonts w:cs="Times New Roman"/>
          <w:lang w:eastAsia="en-US"/>
        </w:rPr>
        <w:t xml:space="preserve"> Перевод   баллов, полученных  по результатам тестирования в пятибалльную шкалу, осуществляется  с учетом  следующих диапазонов: 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>-  оценка «отлично» –  от 91 до 100 баллов;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 xml:space="preserve">- оценка «хорошо» – от 81 до 90 баллов; 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>- оценка «удовлетворительно» – от 71 до 80 баллов;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>- оценка «неудовлетворительно» – 70 и менее баллов.</w:t>
      </w:r>
    </w:p>
    <w:p>
      <w:pPr>
        <w:autoSpaceDE w:val="0"/>
        <w:autoSpaceDN w:val="0"/>
        <w:adjustRightInd w:val="0"/>
        <w:ind w:firstLine="708"/>
        <w:jc w:val="both"/>
        <w:rPr>
          <w:lang w:eastAsia="en-US"/>
        </w:rPr>
      </w:pPr>
      <w:r>
        <w:rPr>
          <w:lang w:eastAsia="en-US"/>
        </w:rPr>
        <w:t xml:space="preserve">При получении неудовлетворительной оценки за тестирование обучающийся обязан еще один раз повторно пройти этот этап. Проведение повторного тестирования невозможно в день выполнения первой попытки.  </w:t>
      </w:r>
    </w:p>
    <w:p>
      <w:pPr>
        <w:autoSpaceDE w:val="0"/>
        <w:autoSpaceDN w:val="0"/>
        <w:adjustRightInd w:val="0"/>
        <w:ind w:firstLine="708"/>
        <w:jc w:val="both"/>
        <w:rPr>
          <w:lang w:eastAsia="en-US"/>
        </w:rPr>
      </w:pPr>
      <w:r>
        <w:rPr>
          <w:lang w:eastAsia="en-US"/>
        </w:rPr>
        <w:t>В случае, если на повторном тестировании обучающийся снова получает оценку «неудовлетворительно», то он допускается до следующего этапа экзамена без дальнейшей пересдачи тестов, однако при вычислении итоговой оценки за дисциплину у данного обучающегося будет применен индивидуальный понижающий коэффициент и итоговая оценка не превысит 3 баллов («удовлетворительно»).</w:t>
      </w:r>
    </w:p>
    <w:p>
      <w:pPr>
        <w:autoSpaceDE w:val="0"/>
        <w:autoSpaceDN w:val="0"/>
        <w:adjustRightInd w:val="0"/>
        <w:jc w:val="both"/>
        <w:rPr>
          <w:rFonts w:cs="Times New Roman"/>
          <w:b/>
          <w:lang w:eastAsia="en-US"/>
        </w:rPr>
      </w:pPr>
      <w:r>
        <w:rPr>
          <w:rFonts w:cs="Times New Roman"/>
          <w:lang w:eastAsia="en-US"/>
        </w:rPr>
        <w:t xml:space="preserve"> </w:t>
      </w:r>
    </w:p>
    <w:p>
      <w:pPr>
        <w:autoSpaceDE w:val="0"/>
        <w:autoSpaceDN w:val="0"/>
        <w:adjustRightInd w:val="0"/>
        <w:ind w:firstLine="708"/>
        <w:jc w:val="center"/>
        <w:rPr>
          <w:rFonts w:cs="Times New Roman"/>
          <w:b/>
          <w:lang w:eastAsia="en-US"/>
        </w:rPr>
      </w:pPr>
      <w:r>
        <w:rPr>
          <w:rFonts w:cs="Times New Roman"/>
          <w:b/>
          <w:lang w:eastAsia="en-US"/>
        </w:rPr>
        <w:t>Семестровая аттестация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b/>
          <w:lang w:eastAsia="en-US"/>
        </w:rPr>
      </w:pP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 xml:space="preserve"> Семестровая аттестация по результатам текущего контроля проводится в пределах учебных часов, выделенных на контактную (аудиторную) работу – лекции и практические занятия и предусматривает форму «аттестован/не аттестован». Обучающийся считается аттестованным в случае полного выполнения им учебной программы по дисциплине, включая все виды учебных занятий. Результаты семестровой аттестации заносятся преподавателем в «Ведомость семестровой аттестации» после завершения курса лекций и практических занятий. Обучающийся, не аттестованный в установленные сроки, получает в деканате аттестационный лист и направляется на кафедру для ликвидации задолженности.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 xml:space="preserve">В ведомости семестровой аттестации в графе «Сведения об аттестации» указывается  трудоемкость в часах  контактной работы (лекции, практические занятия),  которые обучающийся освоил в течение семестра.  При полном выполнении   учебных часов  (100 %),  студент считается аттестованным. Если обучающийся освоил учебные часы не полностью (например,  при плане 120 час (100%)  выполнил 90 час) указывается % выполнения  учебной работы (75%), студент считается не аттестованным.  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color w:val="FF0000"/>
          <w:lang w:eastAsia="en-US"/>
        </w:rPr>
      </w:pPr>
      <w:r>
        <w:rPr>
          <w:rFonts w:cs="Times New Roman"/>
          <w:lang w:eastAsia="en-US"/>
        </w:rPr>
        <w:t>В случае образования текущей задолженности (неудовлетворительные отметки, невыполненные задания, пропуски лекций и практических занятий)  осуществляется ее ликвидация в порядке, утвержденном на заседании  кафедры.   Информация о порядке ликвидации  текущей задолженности (график отработок)   отражена  на учебном портале и учебном  стенде кафедры. Результаты отработок должны отражаться в «Журнале ликвидации задолженности» (журнале отработок) с указанием даты, фамилии, имени, отчества обучающегося, его группы, темы учебного занятия и оценки с подписью преподавателя</w:t>
      </w:r>
      <w:r>
        <w:rPr>
          <w:rFonts w:cs="Times New Roman"/>
          <w:color w:val="FF0000"/>
          <w:lang w:eastAsia="en-US"/>
        </w:rPr>
        <w:t>.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 xml:space="preserve">У обучающихся по специальности Лечебное дело в 2020-2021 гг. количество  часов  аудиторной работы в </w:t>
      </w:r>
      <w:r>
        <w:rPr>
          <w:rFonts w:cs="Times New Roman"/>
          <w:lang w:val="en-US" w:eastAsia="en-US"/>
        </w:rPr>
        <w:t>VII</w:t>
      </w:r>
      <w:r>
        <w:rPr>
          <w:rFonts w:cs="Times New Roman"/>
          <w:lang w:eastAsia="en-US"/>
        </w:rPr>
        <w:t xml:space="preserve"> и </w:t>
      </w:r>
      <w:r>
        <w:rPr>
          <w:rFonts w:cs="Times New Roman"/>
          <w:lang w:val="en-US" w:eastAsia="en-US"/>
        </w:rPr>
        <w:t>VIII</w:t>
      </w:r>
      <w:r>
        <w:rPr>
          <w:rFonts w:cs="Times New Roman"/>
          <w:lang w:eastAsia="en-US"/>
        </w:rPr>
        <w:t xml:space="preserve"> семестрах составляет:</w:t>
      </w:r>
    </w:p>
    <w:p>
      <w:pPr>
        <w:autoSpaceDE w:val="0"/>
        <w:autoSpaceDN w:val="0"/>
        <w:adjustRightInd w:val="0"/>
        <w:jc w:val="both"/>
        <w:rPr>
          <w:rFonts w:cs="Times New Roman"/>
          <w:lang w:eastAsia="en-US"/>
        </w:rPr>
      </w:pPr>
    </w:p>
    <w:tbl>
      <w:tblPr>
        <w:tblStyle w:val="4"/>
        <w:tblW w:w="500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6"/>
        <w:gridCol w:w="1149"/>
        <w:gridCol w:w="2014"/>
        <w:gridCol w:w="1103"/>
        <w:gridCol w:w="9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9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spacing w:line="312" w:lineRule="auto"/>
              <w:jc w:val="both"/>
              <w:rPr>
                <w:bCs/>
              </w:rPr>
            </w:pPr>
            <w:r>
              <w:rPr>
                <w:bCs/>
              </w:rPr>
              <w:t>Вид учебной работы</w:t>
            </w:r>
          </w:p>
        </w:tc>
        <w:tc>
          <w:tcPr>
            <w:tcW w:w="60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spacing w:line="312" w:lineRule="auto"/>
              <w:jc w:val="both"/>
              <w:rPr>
                <w:bCs/>
                <w:lang w:val="en-US"/>
              </w:rPr>
            </w:pPr>
            <w:r>
              <w:rPr>
                <w:bCs/>
              </w:rPr>
              <w:t xml:space="preserve">Всего </w:t>
            </w:r>
            <w:r>
              <w:rPr>
                <w:bCs/>
                <w:lang w:val="en-US"/>
              </w:rPr>
              <w:t>%</w:t>
            </w:r>
          </w:p>
        </w:tc>
        <w:tc>
          <w:tcPr>
            <w:tcW w:w="105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spacing w:line="312" w:lineRule="auto"/>
              <w:jc w:val="both"/>
              <w:rPr>
                <w:bCs/>
                <w:lang w:val="en-US"/>
              </w:rPr>
            </w:pPr>
            <w:r>
              <w:rPr>
                <w:bCs/>
              </w:rPr>
              <w:t>Всего часов</w:t>
            </w:r>
            <w:r>
              <w:rPr>
                <w:bCs/>
                <w:lang w:val="en-US"/>
              </w:rPr>
              <w:t xml:space="preserve"> </w:t>
            </w:r>
          </w:p>
        </w:tc>
        <w:tc>
          <w:tcPr>
            <w:tcW w:w="105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spacing w:line="312" w:lineRule="auto"/>
              <w:jc w:val="both"/>
              <w:rPr>
                <w:bCs/>
              </w:rPr>
            </w:pPr>
            <w:r>
              <w:rPr>
                <w:bCs/>
              </w:rPr>
              <w:t>Семестры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9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12" w:lineRule="auto"/>
              <w:jc w:val="both"/>
              <w:rPr>
                <w:bCs/>
              </w:rPr>
            </w:pPr>
          </w:p>
        </w:tc>
        <w:tc>
          <w:tcPr>
            <w:tcW w:w="6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12" w:lineRule="auto"/>
              <w:jc w:val="both"/>
              <w:rPr>
                <w:bCs/>
              </w:rPr>
            </w:pPr>
          </w:p>
        </w:tc>
        <w:tc>
          <w:tcPr>
            <w:tcW w:w="1052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12" w:lineRule="auto"/>
              <w:jc w:val="both"/>
              <w:rPr>
                <w:bCs/>
              </w:rPr>
            </w:pPr>
          </w:p>
        </w:tc>
        <w:tc>
          <w:tcPr>
            <w:tcW w:w="5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spacing w:line="312" w:lineRule="auto"/>
              <w:jc w:val="both"/>
              <w:rPr>
                <w:bCs/>
                <w:lang w:val="en-US"/>
              </w:rPr>
            </w:pPr>
            <w:r>
              <w:rPr>
                <w:bCs/>
              </w:rPr>
              <w:t xml:space="preserve">  </w:t>
            </w:r>
            <w:r>
              <w:rPr>
                <w:bCs/>
                <w:lang w:val="en-US"/>
              </w:rPr>
              <w:t>VII</w:t>
            </w:r>
            <w:r>
              <w:rPr>
                <w:bCs/>
              </w:rPr>
              <w:t xml:space="preserve"> 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spacing w:line="312" w:lineRule="auto"/>
              <w:jc w:val="both"/>
              <w:rPr>
                <w:bCs/>
                <w:lang w:val="en-US"/>
              </w:rPr>
            </w:pPr>
            <w:r>
              <w:rPr>
                <w:bCs/>
              </w:rPr>
              <w:t xml:space="preserve">  </w:t>
            </w:r>
            <w:r>
              <w:rPr>
                <w:bCs/>
                <w:lang w:val="en-US"/>
              </w:rPr>
              <w:t>VIII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9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12" w:lineRule="auto"/>
              <w:jc w:val="both"/>
              <w:rPr>
                <w:bCs/>
              </w:rPr>
            </w:pPr>
          </w:p>
        </w:tc>
        <w:tc>
          <w:tcPr>
            <w:tcW w:w="6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12" w:lineRule="auto"/>
              <w:jc w:val="both"/>
              <w:rPr>
                <w:bCs/>
              </w:rPr>
            </w:pPr>
          </w:p>
        </w:tc>
        <w:tc>
          <w:tcPr>
            <w:tcW w:w="105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12" w:lineRule="auto"/>
              <w:jc w:val="both"/>
              <w:rPr>
                <w:bCs/>
              </w:rPr>
            </w:pPr>
          </w:p>
        </w:tc>
        <w:tc>
          <w:tcPr>
            <w:tcW w:w="5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spacing w:line="312" w:lineRule="auto"/>
              <w:jc w:val="both"/>
              <w:rPr>
                <w:bCs/>
              </w:rPr>
            </w:pPr>
            <w:r>
              <w:rPr>
                <w:bCs/>
              </w:rPr>
              <w:t>часов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spacing w:line="312" w:lineRule="auto"/>
              <w:jc w:val="both"/>
              <w:rPr>
                <w:bCs/>
              </w:rPr>
            </w:pPr>
            <w:r>
              <w:rPr>
                <w:bCs/>
              </w:rPr>
              <w:t>часов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AEAEA"/>
            <w:vAlign w:val="center"/>
          </w:tcPr>
          <w:p>
            <w:pPr>
              <w:widowControl w:val="0"/>
              <w:tabs>
                <w:tab w:val="right" w:leader="underscore" w:pos="9639"/>
              </w:tabs>
              <w:spacing w:line="312" w:lineRule="auto"/>
              <w:jc w:val="both"/>
              <w:rPr>
                <w:bCs/>
              </w:rPr>
            </w:pPr>
            <w:r>
              <w:rPr>
                <w:bCs/>
              </w:rPr>
              <w:t>Аудиторные (контактные) занятия (всего), в том числе:</w:t>
            </w:r>
          </w:p>
        </w:tc>
        <w:tc>
          <w:tcPr>
            <w:tcW w:w="6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AEAEA"/>
            <w:vAlign w:val="center"/>
          </w:tcPr>
          <w:p>
            <w:pPr>
              <w:widowControl w:val="0"/>
              <w:tabs>
                <w:tab w:val="right" w:leader="underscore" w:pos="9639"/>
              </w:tabs>
              <w:spacing w:line="312" w:lineRule="auto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100%</w:t>
            </w:r>
          </w:p>
        </w:tc>
        <w:tc>
          <w:tcPr>
            <w:tcW w:w="10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AEAEA"/>
            <w:vAlign w:val="center"/>
          </w:tcPr>
          <w:p>
            <w:pPr>
              <w:widowControl w:val="0"/>
              <w:tabs>
                <w:tab w:val="right" w:leader="underscore" w:pos="9639"/>
              </w:tabs>
              <w:spacing w:line="312" w:lineRule="auto"/>
              <w:jc w:val="both"/>
              <w:rPr>
                <w:bCs/>
              </w:rPr>
            </w:pPr>
            <w:r>
              <w:rPr>
                <w:bCs/>
              </w:rPr>
              <w:t>192</w:t>
            </w:r>
          </w:p>
        </w:tc>
        <w:tc>
          <w:tcPr>
            <w:tcW w:w="5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AEAEA"/>
            <w:vAlign w:val="center"/>
          </w:tcPr>
          <w:p>
            <w:pPr>
              <w:widowControl w:val="0"/>
              <w:tabs>
                <w:tab w:val="right" w:leader="underscore" w:pos="9639"/>
              </w:tabs>
              <w:spacing w:line="312" w:lineRule="auto"/>
              <w:jc w:val="both"/>
              <w:rPr>
                <w:bCs/>
              </w:rPr>
            </w:pPr>
            <w:r>
              <w:rPr>
                <w:bCs/>
              </w:rPr>
              <w:t>96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AEAEA"/>
            <w:vAlign w:val="center"/>
          </w:tcPr>
          <w:p>
            <w:pPr>
              <w:widowControl w:val="0"/>
              <w:tabs>
                <w:tab w:val="right" w:leader="underscore" w:pos="9639"/>
              </w:tabs>
              <w:spacing w:line="312" w:lineRule="auto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 </w:t>
            </w:r>
            <w:r>
              <w:rPr>
                <w:bCs/>
              </w:rPr>
              <w:t>96</w:t>
            </w:r>
            <w:r>
              <w:rPr>
                <w:bCs/>
                <w:lang w:val="en-US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spacing w:line="312" w:lineRule="auto"/>
              <w:jc w:val="both"/>
              <w:rPr>
                <w:bCs/>
              </w:rPr>
            </w:pPr>
            <w:r>
              <w:rPr>
                <w:bCs/>
              </w:rPr>
              <w:t xml:space="preserve">Лекции  </w:t>
            </w:r>
          </w:p>
        </w:tc>
        <w:tc>
          <w:tcPr>
            <w:tcW w:w="6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spacing w:line="312" w:lineRule="auto"/>
              <w:jc w:val="both"/>
              <w:rPr>
                <w:bCs/>
              </w:rPr>
            </w:pPr>
            <w:r>
              <w:rPr>
                <w:bCs/>
              </w:rPr>
              <w:t xml:space="preserve"> </w:t>
            </w:r>
          </w:p>
        </w:tc>
        <w:tc>
          <w:tcPr>
            <w:tcW w:w="10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spacing w:line="312" w:lineRule="auto"/>
              <w:jc w:val="both"/>
              <w:rPr>
                <w:bCs/>
              </w:rPr>
            </w:pPr>
            <w:r>
              <w:rPr>
                <w:bCs/>
              </w:rPr>
              <w:t>64</w:t>
            </w:r>
          </w:p>
        </w:tc>
        <w:tc>
          <w:tcPr>
            <w:tcW w:w="5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spacing w:line="312" w:lineRule="auto"/>
              <w:jc w:val="both"/>
              <w:rPr>
                <w:bCs/>
              </w:rPr>
            </w:pPr>
            <w:r>
              <w:rPr>
                <w:bCs/>
                <w:lang w:val="en-US"/>
              </w:rPr>
              <w:t xml:space="preserve"> </w:t>
            </w:r>
            <w:r>
              <w:rPr>
                <w:bCs/>
              </w:rPr>
              <w:t>32</w:t>
            </w:r>
            <w:r>
              <w:rPr>
                <w:bCs/>
                <w:lang w:val="en-US"/>
              </w:rPr>
              <w:t xml:space="preserve"> </w:t>
            </w:r>
            <w:r>
              <w:rPr>
                <w:bCs/>
              </w:rPr>
              <w:t xml:space="preserve"> 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spacing w:line="312" w:lineRule="auto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 </w:t>
            </w:r>
            <w:r>
              <w:rPr>
                <w:bCs/>
              </w:rPr>
              <w:t>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spacing w:line="312" w:lineRule="auto"/>
              <w:jc w:val="both"/>
              <w:rPr>
                <w:bCs/>
              </w:rPr>
            </w:pPr>
            <w:r>
              <w:rPr>
                <w:bCs/>
              </w:rPr>
              <w:t xml:space="preserve">Практические занятия   </w:t>
            </w:r>
          </w:p>
        </w:tc>
        <w:tc>
          <w:tcPr>
            <w:tcW w:w="6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spacing w:line="312" w:lineRule="auto"/>
              <w:jc w:val="both"/>
              <w:rPr>
                <w:bCs/>
              </w:rPr>
            </w:pPr>
            <w:r>
              <w:rPr>
                <w:bCs/>
              </w:rPr>
              <w:t xml:space="preserve"> </w:t>
            </w:r>
          </w:p>
        </w:tc>
        <w:tc>
          <w:tcPr>
            <w:tcW w:w="10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spacing w:line="312" w:lineRule="auto"/>
              <w:jc w:val="both"/>
              <w:rPr>
                <w:bCs/>
              </w:rPr>
            </w:pPr>
            <w:r>
              <w:rPr>
                <w:bCs/>
              </w:rPr>
              <w:t>128</w:t>
            </w:r>
          </w:p>
        </w:tc>
        <w:tc>
          <w:tcPr>
            <w:tcW w:w="5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spacing w:line="312" w:lineRule="auto"/>
              <w:jc w:val="both"/>
              <w:rPr>
                <w:bCs/>
                <w:lang w:val="en-US"/>
              </w:rPr>
            </w:pPr>
            <w:r>
              <w:rPr>
                <w:bCs/>
              </w:rPr>
              <w:t>64</w:t>
            </w:r>
            <w:r>
              <w:rPr>
                <w:bCs/>
                <w:lang w:val="en-US"/>
              </w:rPr>
              <w:t xml:space="preserve"> 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spacing w:line="312" w:lineRule="auto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 </w:t>
            </w:r>
            <w:r>
              <w:rPr>
                <w:bCs/>
              </w:rPr>
              <w:t>64</w:t>
            </w:r>
          </w:p>
        </w:tc>
      </w:tr>
    </w:tbl>
    <w:p>
      <w:pPr>
        <w:autoSpaceDE w:val="0"/>
        <w:autoSpaceDN w:val="0"/>
        <w:adjustRightInd w:val="0"/>
        <w:jc w:val="both"/>
        <w:rPr>
          <w:rFonts w:cs="Times New Roman"/>
          <w:lang w:eastAsia="en-US"/>
        </w:rPr>
      </w:pP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 xml:space="preserve">У обучающихся по специальности Педиатрия  количество  часов  аудиторной работы в </w:t>
      </w:r>
      <w:r>
        <w:rPr>
          <w:rFonts w:cs="Times New Roman"/>
          <w:lang w:val="en-US" w:eastAsia="en-US"/>
        </w:rPr>
        <w:t>VI</w:t>
      </w:r>
      <w:r>
        <w:rPr>
          <w:rFonts w:cs="Times New Roman"/>
          <w:lang w:eastAsia="en-US"/>
        </w:rPr>
        <w:t xml:space="preserve">  и </w:t>
      </w:r>
      <w:r>
        <w:rPr>
          <w:rFonts w:cs="Times New Roman"/>
          <w:lang w:val="en-US" w:eastAsia="en-US"/>
        </w:rPr>
        <w:t>VII</w:t>
      </w:r>
      <w:r>
        <w:rPr>
          <w:rFonts w:cs="Times New Roman"/>
          <w:lang w:eastAsia="en-US"/>
        </w:rPr>
        <w:t xml:space="preserve"> семестрах  составляет: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1"/>
        <w:gridCol w:w="1133"/>
        <w:gridCol w:w="2089"/>
        <w:gridCol w:w="996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7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jc w:val="both"/>
              <w:rPr>
                <w:bCs/>
              </w:rPr>
            </w:pPr>
            <w:r>
              <w:rPr>
                <w:bCs/>
              </w:rPr>
              <w:t>Вид учебной работы</w:t>
            </w:r>
          </w:p>
        </w:tc>
        <w:tc>
          <w:tcPr>
            <w:tcW w:w="59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tabs>
                <w:tab w:val="right" w:leader="underscore" w:pos="9639"/>
              </w:tabs>
              <w:jc w:val="both"/>
              <w:rPr>
                <w:bCs/>
              </w:rPr>
            </w:pPr>
            <w:r>
              <w:rPr>
                <w:bCs/>
              </w:rPr>
              <w:t>Всего  %</w:t>
            </w:r>
          </w:p>
        </w:tc>
        <w:tc>
          <w:tcPr>
            <w:tcW w:w="109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Всего часов </w:t>
            </w:r>
          </w:p>
        </w:tc>
        <w:tc>
          <w:tcPr>
            <w:tcW w:w="103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jc w:val="both"/>
              <w:rPr>
                <w:bCs/>
              </w:rPr>
            </w:pPr>
            <w:r>
              <w:rPr>
                <w:bCs/>
              </w:rPr>
              <w:t>Семестры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7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bCs/>
              </w:rPr>
            </w:pPr>
          </w:p>
        </w:tc>
        <w:tc>
          <w:tcPr>
            <w:tcW w:w="592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bCs/>
              </w:rPr>
            </w:pPr>
          </w:p>
        </w:tc>
        <w:tc>
          <w:tcPr>
            <w:tcW w:w="10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bCs/>
              </w:rPr>
            </w:pPr>
          </w:p>
        </w:tc>
        <w:tc>
          <w:tcPr>
            <w:tcW w:w="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jc w:val="both"/>
              <w:rPr>
                <w:bCs/>
                <w:lang w:val="en-US"/>
              </w:rPr>
            </w:pPr>
            <w:r>
              <w:rPr>
                <w:bCs/>
              </w:rPr>
              <w:t xml:space="preserve"> </w:t>
            </w:r>
            <w:r>
              <w:rPr>
                <w:bCs/>
                <w:lang w:val="en-US"/>
              </w:rPr>
              <w:t xml:space="preserve">VI </w:t>
            </w:r>
          </w:p>
        </w:tc>
        <w:tc>
          <w:tcPr>
            <w:tcW w:w="5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 VII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7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bCs/>
              </w:rPr>
            </w:pPr>
          </w:p>
        </w:tc>
        <w:tc>
          <w:tcPr>
            <w:tcW w:w="59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bCs/>
              </w:rPr>
            </w:pPr>
          </w:p>
        </w:tc>
        <w:tc>
          <w:tcPr>
            <w:tcW w:w="10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bCs/>
              </w:rPr>
            </w:pPr>
          </w:p>
        </w:tc>
        <w:tc>
          <w:tcPr>
            <w:tcW w:w="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jc w:val="both"/>
              <w:rPr>
                <w:bCs/>
              </w:rPr>
            </w:pPr>
            <w:r>
              <w:rPr>
                <w:bCs/>
              </w:rPr>
              <w:t>часов</w:t>
            </w:r>
          </w:p>
        </w:tc>
        <w:tc>
          <w:tcPr>
            <w:tcW w:w="5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jc w:val="both"/>
              <w:rPr>
                <w:bCs/>
              </w:rPr>
            </w:pPr>
            <w:r>
              <w:rPr>
                <w:bCs/>
              </w:rPr>
              <w:t>часов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AEAEA"/>
            <w:vAlign w:val="center"/>
          </w:tcPr>
          <w:p>
            <w:pPr>
              <w:widowControl w:val="0"/>
              <w:tabs>
                <w:tab w:val="right" w:leader="underscore" w:pos="9639"/>
              </w:tabs>
              <w:jc w:val="both"/>
              <w:rPr>
                <w:bCs/>
              </w:rPr>
            </w:pPr>
            <w:r>
              <w:rPr>
                <w:bCs/>
              </w:rPr>
              <w:t>Аудиторные (контактные) занятия (всего), в том числе:</w:t>
            </w:r>
          </w:p>
        </w:tc>
        <w:tc>
          <w:tcPr>
            <w:tcW w:w="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AEAEA"/>
          </w:tcPr>
          <w:p>
            <w:pPr>
              <w:widowControl w:val="0"/>
              <w:tabs>
                <w:tab w:val="right" w:leader="underscore" w:pos="9639"/>
              </w:tabs>
              <w:jc w:val="both"/>
              <w:rPr>
                <w:bCs/>
              </w:rPr>
            </w:pPr>
            <w:r>
              <w:rPr>
                <w:bCs/>
              </w:rPr>
              <w:t>100%</w:t>
            </w:r>
          </w:p>
        </w:tc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AEAEA"/>
            <w:vAlign w:val="center"/>
          </w:tcPr>
          <w:p>
            <w:pPr>
              <w:widowControl w:val="0"/>
              <w:tabs>
                <w:tab w:val="right" w:leader="underscore" w:pos="9639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96  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AEAEA"/>
            <w:vAlign w:val="center"/>
          </w:tcPr>
          <w:p>
            <w:pPr>
              <w:widowControl w:val="0"/>
              <w:tabs>
                <w:tab w:val="right" w:leader="underscore" w:pos="9639"/>
              </w:tabs>
              <w:jc w:val="both"/>
              <w:rPr>
                <w:bCs/>
              </w:rPr>
            </w:pPr>
            <w:r>
              <w:rPr>
                <w:bCs/>
              </w:rPr>
              <w:t>72</w:t>
            </w:r>
          </w:p>
        </w:tc>
        <w:tc>
          <w:tcPr>
            <w:tcW w:w="5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AEAEA"/>
            <w:vAlign w:val="center"/>
          </w:tcPr>
          <w:p>
            <w:pPr>
              <w:widowControl w:val="0"/>
              <w:tabs>
                <w:tab w:val="right" w:leader="underscore" w:pos="9639"/>
              </w:tabs>
              <w:jc w:val="both"/>
              <w:rPr>
                <w:bCs/>
              </w:rPr>
            </w:pPr>
            <w:r>
              <w:rPr>
                <w:rFonts w:hint="default"/>
                <w:bCs/>
                <w:lang w:val="ru-RU"/>
              </w:rPr>
              <w:t>48</w:t>
            </w:r>
            <w:r>
              <w:rPr>
                <w:bCs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Лекции  </w:t>
            </w:r>
          </w:p>
        </w:tc>
        <w:tc>
          <w:tcPr>
            <w:tcW w:w="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tabs>
                <w:tab w:val="right" w:leader="underscore" w:pos="9639"/>
              </w:tabs>
              <w:jc w:val="both"/>
              <w:rPr>
                <w:bCs/>
              </w:rPr>
            </w:pPr>
          </w:p>
        </w:tc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jc w:val="both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20 </w:t>
            </w:r>
          </w:p>
        </w:tc>
        <w:tc>
          <w:tcPr>
            <w:tcW w:w="5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jc w:val="both"/>
              <w:rPr>
                <w:rFonts w:hint="default"/>
                <w:bCs/>
                <w:lang w:val="ru-RU"/>
              </w:rPr>
            </w:pPr>
            <w:r>
              <w:rPr>
                <w:rFonts w:hint="default"/>
                <w:bCs/>
                <w:lang w:val="ru-RU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Практические занятия   </w:t>
            </w:r>
          </w:p>
        </w:tc>
        <w:tc>
          <w:tcPr>
            <w:tcW w:w="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tabs>
                <w:tab w:val="right" w:leader="underscore" w:pos="9639"/>
              </w:tabs>
              <w:jc w:val="both"/>
              <w:rPr>
                <w:bCs/>
              </w:rPr>
            </w:pPr>
          </w:p>
        </w:tc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jc w:val="both"/>
              <w:rPr>
                <w:bCs/>
              </w:rPr>
            </w:pPr>
            <w:r>
              <w:rPr>
                <w:bCs/>
              </w:rPr>
              <w:t>68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jc w:val="both"/>
              <w:rPr>
                <w:bCs/>
              </w:rPr>
            </w:pPr>
            <w:r>
              <w:rPr>
                <w:bCs/>
              </w:rPr>
              <w:t>52</w:t>
            </w:r>
          </w:p>
        </w:tc>
        <w:tc>
          <w:tcPr>
            <w:tcW w:w="5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jc w:val="both"/>
              <w:rPr>
                <w:rFonts w:hint="default"/>
                <w:bCs/>
                <w:lang w:val="ru-RU"/>
              </w:rPr>
            </w:pPr>
            <w:r>
              <w:rPr>
                <w:rFonts w:hint="default"/>
                <w:bCs/>
                <w:lang w:val="ru-RU"/>
              </w:rPr>
              <w:t>32</w:t>
            </w:r>
          </w:p>
        </w:tc>
      </w:tr>
    </w:tbl>
    <w:p>
      <w:pPr>
        <w:autoSpaceDE w:val="0"/>
        <w:autoSpaceDN w:val="0"/>
        <w:adjustRightInd w:val="0"/>
        <w:jc w:val="both"/>
        <w:rPr>
          <w:rFonts w:cs="Times New Roman"/>
          <w:lang w:eastAsia="en-US"/>
        </w:rPr>
      </w:pPr>
    </w:p>
    <w:p>
      <w:pPr>
        <w:autoSpaceDE w:val="0"/>
        <w:autoSpaceDN w:val="0"/>
        <w:adjustRightInd w:val="0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 xml:space="preserve">        В графе семестровой ведомости «средний балл» выставляется среднеарифметическое значение, полученное  путем суммирования всех оценок, выставленных   за семестр и деления на их количество.</w:t>
      </w:r>
    </w:p>
    <w:p>
      <w:pPr>
        <w:autoSpaceDE w:val="0"/>
        <w:autoSpaceDN w:val="0"/>
        <w:adjustRightInd w:val="0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 xml:space="preserve">    Допуск к экзаменационной сессии обучающиеся получают при условии полного выполнения ими учебной программы дисциплины при ликвидации имеющихся задолженностей.</w:t>
      </w:r>
    </w:p>
    <w:p>
      <w:pPr>
        <w:autoSpaceDE w:val="0"/>
        <w:autoSpaceDN w:val="0"/>
        <w:adjustRightInd w:val="0"/>
        <w:jc w:val="both"/>
        <w:rPr>
          <w:rFonts w:cs="Times New Roman"/>
          <w:lang w:eastAsia="en-US"/>
        </w:rPr>
      </w:pPr>
    </w:p>
    <w:p>
      <w:pPr>
        <w:autoSpaceDE w:val="0"/>
        <w:autoSpaceDN w:val="0"/>
        <w:adjustRightInd w:val="0"/>
        <w:jc w:val="center"/>
        <w:rPr>
          <w:rFonts w:cs="Times New Roman"/>
          <w:b/>
          <w:lang w:eastAsia="en-US"/>
        </w:rPr>
      </w:pPr>
      <w:r>
        <w:rPr>
          <w:rFonts w:cs="Times New Roman"/>
          <w:b/>
          <w:lang w:eastAsia="en-US"/>
        </w:rPr>
        <w:t>Промежуточная аттестация (экзамен)</w:t>
      </w:r>
    </w:p>
    <w:p>
      <w:pPr>
        <w:autoSpaceDE w:val="0"/>
        <w:autoSpaceDN w:val="0"/>
        <w:adjustRightInd w:val="0"/>
        <w:jc w:val="both"/>
        <w:rPr>
          <w:rFonts w:cs="Times New Roman"/>
          <w:b/>
          <w:lang w:eastAsia="en-US"/>
        </w:rPr>
      </w:pP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>Промежуточная аттестация  на кафедре факультетской терапии  проводится в форме экзамена в три этапа: тестирование на электронном носителе, выполнение заданий практических навыков, собеседование по программным вопросам и ситуационным задачам.  Проведение устного экзамена предусматривает обязательное наличие листа устного ответа, в котором фиксируется номер билета, время его получения обучающимся и изложены тезисы ответа. Листы устного ответа должны храниться на кафедре как документ строгой отчетности в течение 3 лет.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 xml:space="preserve">Система оценки промежуточной аттестации обучающихся   предусматривает традиционную 5-балльную шкалу.  Установлены следующие критерии экзаменационной оценки знаний, умений и навыков по дисциплине (модулю) «Факультетская терапия»: 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 xml:space="preserve">-оценка </w:t>
      </w:r>
      <w:r>
        <w:rPr>
          <w:rFonts w:cs="Times New Roman"/>
          <w:b/>
          <w:lang w:eastAsia="en-US"/>
        </w:rPr>
        <w:t>«отлично»</w:t>
      </w:r>
      <w:r>
        <w:rPr>
          <w:rFonts w:cs="Times New Roman"/>
          <w:lang w:eastAsia="en-US"/>
        </w:rPr>
        <w:t xml:space="preserve"> выставляется обучающемуся, если он глубоко и прочно усвоил программный материал, исчерпывающе, последовательно, четко и логически стройно его излагает, умеет тесно увязывать теорию с практикой, свободно справляется с задачами, вопросами и другими видами применения знаний; причем не затрудняется с ответом при видоизменении заданий, использует в ответе материал монографической литературы, правильно обосновывает принятое решение, владеет разносторонними навыками и приемами  выполнения практических задач; 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 xml:space="preserve">-оценка «хорошо» выставляется обучающемуся, если он твердо знает материал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 и приемами их выполнения; 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 xml:space="preserve">-оценка «удовлетворительно» выставляется обучающемуся, если он имеет знания только основного материала, но не усвоил его деталей, допускает неточности, недостаточно полные формулировки,  нарушения логической последовательности в изложении программного материала, испытывает затруднения при выполнении практических работ; 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>-оценка «неудовлетворительно» выставляется обучающемуся, если он не знает значительной части программного материала, допускает существенные ошибки, неуверенно, с большими затруднениями выполняет практические работы. Как правило, оценка неудовлетворительно ставится студентам, которые не могут продолжить обучение без дополнительных занятий по соответствующей дисциплине.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 xml:space="preserve">Таким образом, итоговая оценка на экзамене складывается из нескольких составляющих: рейтинговая оценка успеваемости обучающихся за 2 семестра обучения дисциплине,   оценки за экзаменационное тестирование, практические навыки, собеседование. В ведомость выставляется оценка, которая вычисляется по следующей формуле с учетом коэффициента значимости каждой составляющей итоговой оценки: 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sz w:val="16"/>
          <w:szCs w:val="16"/>
          <w:lang w:eastAsia="en-US"/>
        </w:rPr>
      </w:pPr>
      <w:r>
        <w:rPr>
          <w:rFonts w:cs="Times New Roman"/>
          <w:lang w:eastAsia="en-US"/>
        </w:rPr>
        <w:t xml:space="preserve">Е </w:t>
      </w:r>
      <w:r>
        <w:rPr>
          <w:rFonts w:cs="Times New Roman"/>
          <w:sz w:val="16"/>
          <w:szCs w:val="16"/>
          <w:lang w:eastAsia="en-US"/>
        </w:rPr>
        <w:t xml:space="preserve">итоговая  </w:t>
      </w:r>
      <w:r>
        <w:rPr>
          <w:rFonts w:cs="Times New Roman"/>
          <w:lang w:eastAsia="en-US"/>
        </w:rPr>
        <w:t xml:space="preserve">= Р </w:t>
      </w:r>
      <w:r>
        <w:rPr>
          <w:rFonts w:cs="Times New Roman"/>
          <w:sz w:val="16"/>
          <w:szCs w:val="16"/>
          <w:lang w:eastAsia="en-US"/>
        </w:rPr>
        <w:t xml:space="preserve">общий текущий среднегодовой рейтинг </w:t>
      </w:r>
      <w:r>
        <w:rPr>
          <w:rFonts w:cs="Times New Roman"/>
          <w:lang w:eastAsia="en-US"/>
        </w:rPr>
        <w:t>х</w:t>
      </w:r>
      <w:r>
        <w:rPr>
          <w:rFonts w:cs="Times New Roman"/>
          <w:sz w:val="16"/>
          <w:szCs w:val="16"/>
          <w:lang w:eastAsia="en-US"/>
        </w:rPr>
        <w:t xml:space="preserve"> коэффициент значимости (0,5)</w:t>
      </w:r>
      <w:r>
        <w:rPr>
          <w:rFonts w:cs="Times New Roman"/>
          <w:lang w:eastAsia="en-US"/>
        </w:rPr>
        <w:t xml:space="preserve"> + Т</w:t>
      </w:r>
      <w:r>
        <w:rPr>
          <w:rFonts w:cs="Times New Roman"/>
          <w:sz w:val="16"/>
          <w:szCs w:val="16"/>
          <w:lang w:eastAsia="en-US"/>
        </w:rPr>
        <w:t xml:space="preserve"> (оценка за тестирование)</w:t>
      </w:r>
      <w:r>
        <w:rPr>
          <w:rFonts w:cs="Times New Roman"/>
          <w:lang w:eastAsia="en-US"/>
        </w:rPr>
        <w:t>х</w:t>
      </w:r>
      <w:r>
        <w:rPr>
          <w:rFonts w:cs="Times New Roman"/>
          <w:sz w:val="16"/>
          <w:szCs w:val="16"/>
          <w:lang w:eastAsia="en-US"/>
        </w:rPr>
        <w:t xml:space="preserve"> коэффициент значимости (0,05) </w:t>
      </w:r>
      <w:r>
        <w:rPr>
          <w:rFonts w:cs="Times New Roman"/>
          <w:lang w:eastAsia="en-US"/>
        </w:rPr>
        <w:t>+ ПР</w:t>
      </w:r>
      <w:r>
        <w:rPr>
          <w:rFonts w:cs="Times New Roman"/>
          <w:sz w:val="16"/>
          <w:szCs w:val="16"/>
          <w:lang w:eastAsia="en-US"/>
        </w:rPr>
        <w:t xml:space="preserve"> (оценка за практические навыки)</w:t>
      </w:r>
      <w:r>
        <w:rPr>
          <w:rFonts w:cs="Times New Roman"/>
          <w:lang w:eastAsia="en-US"/>
        </w:rPr>
        <w:t>х</w:t>
      </w:r>
      <w:r>
        <w:rPr>
          <w:rFonts w:cs="Times New Roman"/>
          <w:sz w:val="16"/>
          <w:szCs w:val="16"/>
          <w:lang w:eastAsia="en-US"/>
        </w:rPr>
        <w:t xml:space="preserve"> коэффициент значимости (0,15) </w:t>
      </w:r>
      <w:r>
        <w:rPr>
          <w:rFonts w:cs="Times New Roman"/>
          <w:lang w:eastAsia="en-US"/>
        </w:rPr>
        <w:t>+ С</w:t>
      </w:r>
      <w:r>
        <w:rPr>
          <w:rFonts w:cs="Times New Roman"/>
          <w:sz w:val="16"/>
          <w:szCs w:val="16"/>
          <w:lang w:eastAsia="en-US"/>
        </w:rPr>
        <w:t xml:space="preserve"> (оценка за собеседование) </w:t>
      </w:r>
      <w:r>
        <w:rPr>
          <w:rFonts w:cs="Times New Roman"/>
          <w:lang w:eastAsia="en-US"/>
        </w:rPr>
        <w:t>х</w:t>
      </w:r>
      <w:r>
        <w:rPr>
          <w:rFonts w:cs="Times New Roman"/>
          <w:sz w:val="16"/>
          <w:szCs w:val="16"/>
          <w:lang w:eastAsia="en-US"/>
        </w:rPr>
        <w:t xml:space="preserve"> коэффициент значимости (0,30)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highlight w:val="yellow"/>
          <w:lang w:eastAsia="en-US"/>
        </w:rPr>
      </w:pPr>
      <w:r>
        <w:rPr>
          <w:rFonts w:cs="Times New Roman"/>
          <w:lang w:eastAsia="en-US"/>
        </w:rPr>
        <w:t>Если среднегодовой рейтинг = 4,8, а по всем этапам  экзамена  обучающийся получил 5, то  данная формула подсчитывается следующим образом: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>Е= (</w:t>
      </w:r>
      <w:r>
        <w:rPr>
          <w:rFonts w:cs="Times New Roman"/>
          <w:b/>
          <w:lang w:eastAsia="en-US"/>
        </w:rPr>
        <w:t>4,8</w:t>
      </w:r>
      <w:r>
        <w:rPr>
          <w:rFonts w:cs="Times New Roman"/>
          <w:lang w:eastAsia="en-US"/>
        </w:rPr>
        <w:t>х0,5) +(</w:t>
      </w:r>
      <w:r>
        <w:rPr>
          <w:rFonts w:cs="Times New Roman"/>
          <w:b/>
          <w:lang w:eastAsia="en-US"/>
        </w:rPr>
        <w:t xml:space="preserve">5 </w:t>
      </w:r>
      <w:r>
        <w:rPr>
          <w:rFonts w:cs="Times New Roman"/>
          <w:lang w:eastAsia="en-US"/>
        </w:rPr>
        <w:t>х 0,05)+(</w:t>
      </w:r>
      <w:r>
        <w:rPr>
          <w:rFonts w:cs="Times New Roman"/>
          <w:b/>
          <w:lang w:eastAsia="en-US"/>
        </w:rPr>
        <w:t>5</w:t>
      </w:r>
      <w:r>
        <w:rPr>
          <w:rFonts w:cs="Times New Roman"/>
          <w:lang w:eastAsia="en-US"/>
        </w:rPr>
        <w:t>х0,15)+(</w:t>
      </w:r>
      <w:r>
        <w:rPr>
          <w:rFonts w:cs="Times New Roman"/>
          <w:b/>
          <w:lang w:eastAsia="en-US"/>
        </w:rPr>
        <w:t>5</w:t>
      </w:r>
      <w:r>
        <w:rPr>
          <w:rFonts w:cs="Times New Roman"/>
          <w:lang w:eastAsia="en-US"/>
        </w:rPr>
        <w:t>х0,3)=</w:t>
      </w:r>
      <w:r>
        <w:rPr>
          <w:rFonts w:cs="Times New Roman"/>
          <w:b/>
          <w:lang w:eastAsia="en-US"/>
        </w:rPr>
        <w:t>2,4+0,25+0,75+1,5</w:t>
      </w:r>
      <w:r>
        <w:rPr>
          <w:rFonts w:cs="Times New Roman"/>
          <w:lang w:eastAsia="en-US"/>
        </w:rPr>
        <w:t>=</w:t>
      </w:r>
      <w:r>
        <w:rPr>
          <w:rFonts w:cs="Times New Roman"/>
          <w:b/>
          <w:lang w:eastAsia="en-US"/>
        </w:rPr>
        <w:t>4,9</w:t>
      </w:r>
      <w:r>
        <w:rPr>
          <w:rFonts w:cs="Times New Roman"/>
          <w:lang w:eastAsia="en-US"/>
        </w:rPr>
        <w:t xml:space="preserve">  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>Следовательно, итоговая оценка обучающегося – «отлично» заносится в зачетную книжку.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</w:p>
    <w:p>
      <w:r>
        <w:t>Разработчики:                        доц. Камаева Э.Р.</w:t>
      </w:r>
    </w:p>
    <w:p>
      <w:r>
        <w:t xml:space="preserve">                                                 доц. Мирончук Н.Н.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 xml:space="preserve">                                                                          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highlight w:val="yellow"/>
          <w:lang w:eastAsia="en-US"/>
        </w:rPr>
      </w:pPr>
    </w:p>
    <w:p>
      <w:pPr>
        <w:autoSpaceDE w:val="0"/>
        <w:autoSpaceDN w:val="0"/>
        <w:adjustRightInd w:val="0"/>
        <w:ind w:left="284" w:hanging="284"/>
        <w:jc w:val="center"/>
        <w:rPr>
          <w:rFonts w:cs="Times New Roman"/>
          <w:lang w:eastAsia="en-US"/>
        </w:rPr>
      </w:pPr>
      <w:r>
        <w:rPr>
          <w:rFonts w:cs="Times New Roman"/>
          <w:lang w:eastAsia="en-US"/>
        </w:rPr>
        <w:t>Список использованных нормативных документов</w:t>
      </w:r>
    </w:p>
    <w:p>
      <w:pPr>
        <w:autoSpaceDE w:val="0"/>
        <w:autoSpaceDN w:val="0"/>
        <w:adjustRightInd w:val="0"/>
        <w:ind w:left="284" w:hanging="284"/>
        <w:jc w:val="center"/>
        <w:rPr>
          <w:rFonts w:cs="Times New Roman"/>
          <w:lang w:eastAsia="en-US"/>
        </w:rPr>
      </w:pPr>
    </w:p>
    <w:p>
      <w:pPr>
        <w:pStyle w:val="12"/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rFonts w:cs="Times New Roman"/>
          <w:lang w:eastAsia="en-US"/>
        </w:rPr>
      </w:pPr>
      <w:r>
        <w:rPr>
          <w:rFonts w:cs="Times New Roman"/>
          <w:lang w:eastAsia="en-US"/>
        </w:rPr>
        <w:t xml:space="preserve"> Положение о балльно-рейтинговой системе оценкимкачества и управления учебной деятельностью обучающихся ФГБОУ ВО БГМУ Минздрава России (Приложение №13 к Приказу ФГБОУ ВО БГМУ Минздрава России от 30.08.2017 г. № 99).</w:t>
      </w:r>
    </w:p>
    <w:p>
      <w:pPr>
        <w:pStyle w:val="12"/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rFonts w:cs="Times New Roman"/>
          <w:lang w:eastAsia="en-US"/>
        </w:rPr>
      </w:pPr>
      <w:r>
        <w:rPr>
          <w:rFonts w:cs="Times New Roman"/>
          <w:lang w:eastAsia="en-US"/>
        </w:rPr>
        <w:t>Положение о проведении текущего контроля успеваемости и промежуточной аттестации обучающихся в ФГБОУ ВО БГМУ Минздрава России  (Приложение №18 к Приказу ФГБОУ ВО БГМУ Минздрава России от 30.08.2017 г. № 99).</w:t>
      </w:r>
    </w:p>
    <w:p>
      <w:pPr>
        <w:pStyle w:val="12"/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rFonts w:cs="Times New Roman"/>
          <w:lang w:eastAsia="en-US"/>
        </w:rPr>
      </w:pPr>
      <w:r>
        <w:rPr>
          <w:rFonts w:cs="Times New Roman"/>
          <w:lang w:eastAsia="en-US"/>
        </w:rPr>
        <w:t>Инструкция по оформлению результатов оценки текущей успеваемости и промежуточной аттестации обучающихся ФГБОУ ВО БГМУ Минздрава России (2018 г.)</w:t>
      </w:r>
    </w:p>
    <w:p>
      <w:pPr>
        <w:pStyle w:val="12"/>
        <w:autoSpaceDE w:val="0"/>
        <w:autoSpaceDN w:val="0"/>
        <w:adjustRightInd w:val="0"/>
        <w:ind w:left="284" w:hanging="284"/>
        <w:rPr>
          <w:rFonts w:cs="Times New Roman"/>
          <w:lang w:eastAsia="en-US"/>
        </w:rPr>
      </w:pP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 xml:space="preserve"> 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highlight w:val="yellow"/>
          <w:lang w:eastAsia="en-US"/>
        </w:rPr>
      </w:pPr>
      <w:r>
        <w:rPr>
          <w:rFonts w:cs="Times New Roman"/>
          <w:lang w:eastAsia="en-US"/>
        </w:rPr>
        <w:t xml:space="preserve"> </w:t>
      </w:r>
    </w:p>
    <w:p>
      <w:pPr>
        <w:autoSpaceDE w:val="0"/>
        <w:autoSpaceDN w:val="0"/>
        <w:adjustRightInd w:val="0"/>
        <w:jc w:val="both"/>
      </w:pPr>
    </w:p>
    <w:sectPr>
      <w:footerReference r:id="rId3" w:type="default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1856311"/>
      <w:docPartObj>
        <w:docPartGallery w:val="autotext"/>
      </w:docPartObj>
    </w:sdtPr>
    <w:sdtContent>
      <w:p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>
    <w:pPr>
      <w:pStyle w:val="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6C49BD"/>
    <w:multiLevelType w:val="multilevel"/>
    <w:tmpl w:val="616C49BD"/>
    <w:lvl w:ilvl="0" w:tentative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8" w:hanging="360"/>
      </w:pPr>
    </w:lvl>
    <w:lvl w:ilvl="2" w:tentative="0">
      <w:start w:val="1"/>
      <w:numFmt w:val="lowerRoman"/>
      <w:lvlText w:val="%3."/>
      <w:lvlJc w:val="right"/>
      <w:pPr>
        <w:ind w:left="2508" w:hanging="180"/>
      </w:pPr>
    </w:lvl>
    <w:lvl w:ilvl="3" w:tentative="0">
      <w:start w:val="1"/>
      <w:numFmt w:val="decimal"/>
      <w:lvlText w:val="%4."/>
      <w:lvlJc w:val="left"/>
      <w:pPr>
        <w:ind w:left="3228" w:hanging="360"/>
      </w:pPr>
    </w:lvl>
    <w:lvl w:ilvl="4" w:tentative="0">
      <w:start w:val="1"/>
      <w:numFmt w:val="lowerLetter"/>
      <w:lvlText w:val="%5."/>
      <w:lvlJc w:val="left"/>
      <w:pPr>
        <w:ind w:left="3948" w:hanging="360"/>
      </w:pPr>
    </w:lvl>
    <w:lvl w:ilvl="5" w:tentative="0">
      <w:start w:val="1"/>
      <w:numFmt w:val="lowerRoman"/>
      <w:lvlText w:val="%6."/>
      <w:lvlJc w:val="right"/>
      <w:pPr>
        <w:ind w:left="4668" w:hanging="180"/>
      </w:pPr>
    </w:lvl>
    <w:lvl w:ilvl="6" w:tentative="0">
      <w:start w:val="1"/>
      <w:numFmt w:val="decimal"/>
      <w:lvlText w:val="%7."/>
      <w:lvlJc w:val="left"/>
      <w:pPr>
        <w:ind w:left="5388" w:hanging="360"/>
      </w:pPr>
    </w:lvl>
    <w:lvl w:ilvl="7" w:tentative="0">
      <w:start w:val="1"/>
      <w:numFmt w:val="lowerLetter"/>
      <w:lvlText w:val="%8."/>
      <w:lvlJc w:val="left"/>
      <w:pPr>
        <w:ind w:left="6108" w:hanging="360"/>
      </w:pPr>
    </w:lvl>
    <w:lvl w:ilvl="8" w:tentative="0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290"/>
    <w:rsid w:val="00012FAA"/>
    <w:rsid w:val="00021FF8"/>
    <w:rsid w:val="00022571"/>
    <w:rsid w:val="000471AD"/>
    <w:rsid w:val="00052236"/>
    <w:rsid w:val="00054435"/>
    <w:rsid w:val="00064CCB"/>
    <w:rsid w:val="000A7D7B"/>
    <w:rsid w:val="000E20E9"/>
    <w:rsid w:val="000E2521"/>
    <w:rsid w:val="00114E57"/>
    <w:rsid w:val="00144F7E"/>
    <w:rsid w:val="00187068"/>
    <w:rsid w:val="00210B9A"/>
    <w:rsid w:val="00215885"/>
    <w:rsid w:val="00221D3F"/>
    <w:rsid w:val="00230093"/>
    <w:rsid w:val="00254C70"/>
    <w:rsid w:val="00291F83"/>
    <w:rsid w:val="002A39F2"/>
    <w:rsid w:val="002B3021"/>
    <w:rsid w:val="002C4231"/>
    <w:rsid w:val="002D3181"/>
    <w:rsid w:val="00311703"/>
    <w:rsid w:val="00312EA7"/>
    <w:rsid w:val="0035431A"/>
    <w:rsid w:val="003D0492"/>
    <w:rsid w:val="003E1ED6"/>
    <w:rsid w:val="00400E10"/>
    <w:rsid w:val="00412B1A"/>
    <w:rsid w:val="004A423D"/>
    <w:rsid w:val="004D75B2"/>
    <w:rsid w:val="0051439A"/>
    <w:rsid w:val="00546246"/>
    <w:rsid w:val="005D7320"/>
    <w:rsid w:val="00605296"/>
    <w:rsid w:val="0062377A"/>
    <w:rsid w:val="00646AB9"/>
    <w:rsid w:val="006740D9"/>
    <w:rsid w:val="00694302"/>
    <w:rsid w:val="006945A4"/>
    <w:rsid w:val="00694CF7"/>
    <w:rsid w:val="006D23B7"/>
    <w:rsid w:val="007611FB"/>
    <w:rsid w:val="00774B68"/>
    <w:rsid w:val="0079303C"/>
    <w:rsid w:val="007B4EBD"/>
    <w:rsid w:val="007F7141"/>
    <w:rsid w:val="00806C00"/>
    <w:rsid w:val="00815543"/>
    <w:rsid w:val="00817290"/>
    <w:rsid w:val="00884AF2"/>
    <w:rsid w:val="008943C8"/>
    <w:rsid w:val="008D0DA7"/>
    <w:rsid w:val="00907BAE"/>
    <w:rsid w:val="00926C25"/>
    <w:rsid w:val="00942A1F"/>
    <w:rsid w:val="00996452"/>
    <w:rsid w:val="009C38F0"/>
    <w:rsid w:val="009D2EE2"/>
    <w:rsid w:val="00A0560C"/>
    <w:rsid w:val="00A570E0"/>
    <w:rsid w:val="00AA0344"/>
    <w:rsid w:val="00AB7CCA"/>
    <w:rsid w:val="00AD18CE"/>
    <w:rsid w:val="00AE6D4D"/>
    <w:rsid w:val="00AF6833"/>
    <w:rsid w:val="00B31E47"/>
    <w:rsid w:val="00B34C2E"/>
    <w:rsid w:val="00BC3E42"/>
    <w:rsid w:val="00BD1E2E"/>
    <w:rsid w:val="00BD2CD9"/>
    <w:rsid w:val="00BE61A0"/>
    <w:rsid w:val="00BF72DE"/>
    <w:rsid w:val="00C3518D"/>
    <w:rsid w:val="00C36C99"/>
    <w:rsid w:val="00C463F8"/>
    <w:rsid w:val="00C74C7F"/>
    <w:rsid w:val="00C76719"/>
    <w:rsid w:val="00C96979"/>
    <w:rsid w:val="00CA530C"/>
    <w:rsid w:val="00CD628C"/>
    <w:rsid w:val="00D414B3"/>
    <w:rsid w:val="00D51ED9"/>
    <w:rsid w:val="00D77BBE"/>
    <w:rsid w:val="00DA6E75"/>
    <w:rsid w:val="00DC0881"/>
    <w:rsid w:val="00DD48D4"/>
    <w:rsid w:val="00DE2F69"/>
    <w:rsid w:val="00DF6800"/>
    <w:rsid w:val="00E03877"/>
    <w:rsid w:val="00E766C2"/>
    <w:rsid w:val="00E9347E"/>
    <w:rsid w:val="00EF1FF8"/>
    <w:rsid w:val="00EF5C14"/>
    <w:rsid w:val="00EF6870"/>
    <w:rsid w:val="00F157DA"/>
    <w:rsid w:val="00F24282"/>
    <w:rsid w:val="00F32F2C"/>
    <w:rsid w:val="00FB34A4"/>
    <w:rsid w:val="00FC38D2"/>
    <w:rsid w:val="00FD5ED8"/>
    <w:rsid w:val="12F1ECC6"/>
    <w:rsid w:val="1FE92154"/>
    <w:rsid w:val="355B5A9B"/>
    <w:rsid w:val="39287483"/>
    <w:rsid w:val="6F66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Theme="minorHAnsi" w:cstheme="minorBidi"/>
      <w:sz w:val="24"/>
      <w:szCs w:val="24"/>
      <w:lang w:val="ru-RU" w:eastAsia="ru-RU" w:bidi="ar-SA"/>
    </w:rPr>
  </w:style>
  <w:style w:type="paragraph" w:styleId="2">
    <w:name w:val="heading 3"/>
    <w:basedOn w:val="1"/>
    <w:next w:val="1"/>
    <w:link w:val="8"/>
    <w:qFormat/>
    <w:uiPriority w:val="0"/>
    <w:pPr>
      <w:keepNext/>
      <w:jc w:val="center"/>
      <w:outlineLvl w:val="2"/>
    </w:pPr>
    <w:rPr>
      <w:rFonts w:ascii="Arial" w:hAnsi="Arial" w:eastAsia="Times New Roman" w:cs="Times New Roman"/>
      <w:b/>
      <w:bCs/>
      <w:szCs w:val="20"/>
      <w:lang w:val="zh-CN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1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6">
    <w:name w:val="header"/>
    <w:basedOn w:val="1"/>
    <w:link w:val="9"/>
    <w:unhideWhenUsed/>
    <w:qFormat/>
    <w:uiPriority w:val="99"/>
    <w:pPr>
      <w:tabs>
        <w:tab w:val="center" w:pos="4677"/>
        <w:tab w:val="right" w:pos="9355"/>
      </w:tabs>
    </w:pPr>
  </w:style>
  <w:style w:type="paragraph" w:styleId="7">
    <w:name w:val="footer"/>
    <w:basedOn w:val="1"/>
    <w:link w:val="10"/>
    <w:unhideWhenUsed/>
    <w:qFormat/>
    <w:uiPriority w:val="99"/>
    <w:pPr>
      <w:tabs>
        <w:tab w:val="center" w:pos="4677"/>
        <w:tab w:val="right" w:pos="9355"/>
      </w:tabs>
    </w:pPr>
  </w:style>
  <w:style w:type="character" w:customStyle="1" w:styleId="8">
    <w:name w:val="Заголовок 3 Знак"/>
    <w:basedOn w:val="3"/>
    <w:link w:val="2"/>
    <w:qFormat/>
    <w:uiPriority w:val="0"/>
    <w:rPr>
      <w:rFonts w:ascii="Arial" w:hAnsi="Arial" w:eastAsia="Times New Roman" w:cs="Times New Roman"/>
      <w:b/>
      <w:bCs/>
      <w:sz w:val="24"/>
      <w:szCs w:val="20"/>
      <w:lang w:val="zh-CN" w:eastAsia="ru-RU"/>
    </w:rPr>
  </w:style>
  <w:style w:type="character" w:customStyle="1" w:styleId="9">
    <w:name w:val="Верхний колонтитул Знак"/>
    <w:basedOn w:val="3"/>
    <w:link w:val="6"/>
    <w:qFormat/>
    <w:uiPriority w:val="99"/>
    <w:rPr>
      <w:rFonts w:ascii="Times New Roman" w:hAnsi="Times New Roman"/>
      <w:sz w:val="24"/>
      <w:szCs w:val="24"/>
      <w:lang w:eastAsia="ru-RU"/>
    </w:rPr>
  </w:style>
  <w:style w:type="character" w:customStyle="1" w:styleId="10">
    <w:name w:val="Нижний колонтитул Знак"/>
    <w:basedOn w:val="3"/>
    <w:link w:val="7"/>
    <w:uiPriority w:val="99"/>
    <w:rPr>
      <w:rFonts w:ascii="Times New Roman" w:hAnsi="Times New Roman"/>
      <w:sz w:val="24"/>
      <w:szCs w:val="24"/>
      <w:lang w:eastAsia="ru-RU"/>
    </w:rPr>
  </w:style>
  <w:style w:type="character" w:customStyle="1" w:styleId="11">
    <w:name w:val="Текст выноски Знак"/>
    <w:basedOn w:val="3"/>
    <w:link w:val="5"/>
    <w:semiHidden/>
    <w:qFormat/>
    <w:uiPriority w:val="99"/>
    <w:rPr>
      <w:rFonts w:ascii="Tahoma" w:hAnsi="Tahoma" w:cs="Tahoma"/>
      <w:sz w:val="16"/>
      <w:szCs w:val="16"/>
      <w:lang w:eastAsia="ru-RU"/>
    </w:rPr>
  </w:style>
  <w:style w:type="paragraph" w:styleId="12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2D03A-6F03-4D24-A21B-2B97A64B21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1706</Words>
  <Characters>9726</Characters>
  <Lines>81</Lines>
  <Paragraphs>22</Paragraphs>
  <TotalTime>8</TotalTime>
  <ScaleCrop>false</ScaleCrop>
  <LinksUpToDate>false</LinksUpToDate>
  <CharactersWithSpaces>11410</CharactersWithSpaces>
  <Application>WPS Office_11.2.0.11306_F1E327BC-269C-435d-A152-05C5408002CA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2020-02-14T07:06:00Z</dcterms:created>
  <dc:creator>Кафедра</dc:creator>
  <cp:lastModifiedBy>fermo</cp:lastModifiedBy>
  <cp:lastPrinted>2019-09-06T06:08:00Z</cp:lastPrinted>
  <dcterms:modified xsi:type="dcterms:W3CDTF">2022-09-21T07:39:50Z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FC14659846CB441587BB394F50CBDB8F</vt:lpwstr>
  </property>
</Properties>
</file>