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CA" w:rsidRPr="00A53362" w:rsidRDefault="003E2CE2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362">
        <w:rPr>
          <w:rFonts w:ascii="Times New Roman" w:hAnsi="Times New Roman" w:cs="Times New Roman"/>
          <w:b/>
          <w:sz w:val="24"/>
          <w:szCs w:val="24"/>
        </w:rPr>
        <w:t>Рекомендации по применению нестероидных противовоспалительных препаратов (НПВП) при ревматических заболеваниях</w:t>
      </w:r>
    </w:p>
    <w:p w:rsidR="003E2CE2" w:rsidRPr="00A53362" w:rsidRDefault="003E2CE2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</w:rPr>
        <w:t>Каратеев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 А.Е. по поручению группы экспертов АРР</w:t>
      </w:r>
    </w:p>
    <w:p w:rsidR="003E2CE2" w:rsidRPr="00A53362" w:rsidRDefault="003E2CE2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 xml:space="preserve">НПВП – разнородная по химической природе группа лекарственных препаратов, которых объединяет общий механизм фармакологического действия: блокада 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циклооксигеназы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 (ЦОГ) -2. НПВП разделяются на 2 группы по селективности в отношении ЦОГ-2 – неселекти</w:t>
      </w:r>
      <w:r w:rsidRPr="00A53362">
        <w:rPr>
          <w:rFonts w:ascii="Times New Roman" w:hAnsi="Times New Roman" w:cs="Times New Roman"/>
          <w:sz w:val="24"/>
          <w:szCs w:val="24"/>
        </w:rPr>
        <w:t>в</w:t>
      </w:r>
      <w:r w:rsidRPr="00A53362">
        <w:rPr>
          <w:rFonts w:ascii="Times New Roman" w:hAnsi="Times New Roman" w:cs="Times New Roman"/>
          <w:sz w:val="24"/>
          <w:szCs w:val="24"/>
        </w:rPr>
        <w:t>ные (н-НПВП) и селективные (с-НПВП).</w:t>
      </w:r>
      <w:r w:rsidR="00B4709D" w:rsidRPr="00A53362">
        <w:rPr>
          <w:rFonts w:ascii="Times New Roman" w:hAnsi="Times New Roman" w:cs="Times New Roman"/>
          <w:sz w:val="24"/>
          <w:szCs w:val="24"/>
        </w:rPr>
        <w:t xml:space="preserve"> </w:t>
      </w:r>
      <w:r w:rsidR="0042769B" w:rsidRPr="00A53362">
        <w:rPr>
          <w:rFonts w:ascii="Times New Roman" w:hAnsi="Times New Roman" w:cs="Times New Roman"/>
          <w:sz w:val="24"/>
          <w:szCs w:val="24"/>
        </w:rPr>
        <w:t>Различные НПВП не различаются по своей эффективн</w:t>
      </w:r>
      <w:r w:rsidR="0042769B" w:rsidRPr="00A53362">
        <w:rPr>
          <w:rFonts w:ascii="Times New Roman" w:hAnsi="Times New Roman" w:cs="Times New Roman"/>
          <w:sz w:val="24"/>
          <w:szCs w:val="24"/>
        </w:rPr>
        <w:t>о</w:t>
      </w:r>
      <w:r w:rsidR="0042769B" w:rsidRPr="00A53362">
        <w:rPr>
          <w:rFonts w:ascii="Times New Roman" w:hAnsi="Times New Roman" w:cs="Times New Roman"/>
          <w:sz w:val="24"/>
          <w:szCs w:val="24"/>
        </w:rPr>
        <w:t>сти (</w:t>
      </w:r>
      <w:r w:rsidR="0042769B" w:rsidRPr="00A53362">
        <w:rPr>
          <w:rFonts w:ascii="Times New Roman" w:hAnsi="Times New Roman" w:cs="Times New Roman"/>
          <w:b/>
          <w:sz w:val="24"/>
          <w:szCs w:val="24"/>
        </w:rPr>
        <w:t>уровень доказательности А</w:t>
      </w:r>
      <w:r w:rsidR="0042769B" w:rsidRPr="00A53362">
        <w:rPr>
          <w:rFonts w:ascii="Times New Roman" w:hAnsi="Times New Roman" w:cs="Times New Roman"/>
          <w:sz w:val="24"/>
          <w:szCs w:val="24"/>
        </w:rPr>
        <w:t>). Основным фактором, ограничивающим использование НПВП, являются побочные эффекты со стороны ЖКТ</w:t>
      </w:r>
      <w:r w:rsidR="00C028A7" w:rsidRPr="00A53362">
        <w:rPr>
          <w:rFonts w:ascii="Times New Roman" w:hAnsi="Times New Roman" w:cs="Times New Roman"/>
          <w:sz w:val="24"/>
          <w:szCs w:val="24"/>
        </w:rPr>
        <w:t xml:space="preserve"> </w:t>
      </w:r>
      <w:r w:rsidR="0042769B" w:rsidRPr="00A53362">
        <w:rPr>
          <w:rFonts w:ascii="Times New Roman" w:hAnsi="Times New Roman" w:cs="Times New Roman"/>
          <w:sz w:val="24"/>
          <w:szCs w:val="24"/>
        </w:rPr>
        <w:t>и ССС, которые в большей или мен</w:t>
      </w:r>
      <w:r w:rsidR="0042769B" w:rsidRPr="00A53362">
        <w:rPr>
          <w:rFonts w:ascii="Times New Roman" w:hAnsi="Times New Roman" w:cs="Times New Roman"/>
          <w:sz w:val="24"/>
          <w:szCs w:val="24"/>
        </w:rPr>
        <w:t>ь</w:t>
      </w:r>
      <w:r w:rsidR="0042769B" w:rsidRPr="00A53362">
        <w:rPr>
          <w:rFonts w:ascii="Times New Roman" w:hAnsi="Times New Roman" w:cs="Times New Roman"/>
          <w:sz w:val="24"/>
          <w:szCs w:val="24"/>
        </w:rPr>
        <w:t>шей степени характерны для всех представителей этой лекарственной группы</w:t>
      </w:r>
      <w:r w:rsidR="004A62A4" w:rsidRPr="00A53362">
        <w:rPr>
          <w:rFonts w:ascii="Times New Roman" w:hAnsi="Times New Roman" w:cs="Times New Roman"/>
          <w:sz w:val="24"/>
          <w:szCs w:val="24"/>
        </w:rPr>
        <w:t xml:space="preserve"> (см. таблицу)</w:t>
      </w:r>
      <w:r w:rsidR="002B13C7" w:rsidRPr="00A53362">
        <w:rPr>
          <w:rFonts w:ascii="Times New Roman" w:hAnsi="Times New Roman" w:cs="Times New Roman"/>
          <w:sz w:val="24"/>
          <w:szCs w:val="24"/>
        </w:rPr>
        <w:t xml:space="preserve"> [1]</w:t>
      </w:r>
      <w:r w:rsidR="0042769B" w:rsidRPr="00A533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C65" w:rsidRPr="00A53362" w:rsidRDefault="00EE6C65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362">
        <w:rPr>
          <w:rFonts w:ascii="Times New Roman" w:hAnsi="Times New Roman" w:cs="Times New Roman"/>
          <w:b/>
          <w:sz w:val="24"/>
          <w:szCs w:val="24"/>
        </w:rPr>
        <w:t xml:space="preserve">Общие рекомендации </w:t>
      </w:r>
    </w:p>
    <w:p w:rsidR="00AA26AC" w:rsidRPr="00A53362" w:rsidRDefault="009774A1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 xml:space="preserve">1. </w:t>
      </w:r>
      <w:r w:rsidR="004A33AD" w:rsidRPr="00A53362">
        <w:rPr>
          <w:rFonts w:ascii="Times New Roman" w:hAnsi="Times New Roman" w:cs="Times New Roman"/>
          <w:sz w:val="24"/>
          <w:szCs w:val="24"/>
        </w:rPr>
        <w:t xml:space="preserve"> </w:t>
      </w:r>
      <w:r w:rsidR="00A375E8" w:rsidRPr="00A53362">
        <w:rPr>
          <w:rFonts w:ascii="Times New Roman" w:hAnsi="Times New Roman" w:cs="Times New Roman"/>
          <w:sz w:val="24"/>
          <w:szCs w:val="24"/>
        </w:rPr>
        <w:t>Н</w:t>
      </w:r>
      <w:r w:rsidR="007962C9" w:rsidRPr="00A53362">
        <w:rPr>
          <w:rFonts w:ascii="Times New Roman" w:hAnsi="Times New Roman" w:cs="Times New Roman"/>
          <w:sz w:val="24"/>
          <w:szCs w:val="24"/>
        </w:rPr>
        <w:t xml:space="preserve">азначение </w:t>
      </w:r>
      <w:r w:rsidR="00AB2F91" w:rsidRPr="00A53362">
        <w:rPr>
          <w:rFonts w:ascii="Times New Roman" w:hAnsi="Times New Roman" w:cs="Times New Roman"/>
          <w:sz w:val="24"/>
          <w:szCs w:val="24"/>
        </w:rPr>
        <w:t>НПВП показано больным РЗ</w:t>
      </w:r>
      <w:r w:rsidR="00A375E8" w:rsidRPr="00A53362">
        <w:rPr>
          <w:rFonts w:ascii="Times New Roman" w:hAnsi="Times New Roman" w:cs="Times New Roman"/>
          <w:sz w:val="24"/>
          <w:szCs w:val="24"/>
        </w:rPr>
        <w:t xml:space="preserve"> с умеренными и выраженными болями</w:t>
      </w:r>
      <w:r w:rsidR="00AB2F91" w:rsidRPr="00A53362">
        <w:rPr>
          <w:rFonts w:ascii="Times New Roman" w:hAnsi="Times New Roman" w:cs="Times New Roman"/>
          <w:sz w:val="24"/>
          <w:szCs w:val="24"/>
        </w:rPr>
        <w:t>,</w:t>
      </w:r>
      <w:r w:rsidR="00A375E8" w:rsidRPr="00A53362">
        <w:rPr>
          <w:rFonts w:ascii="Times New Roman" w:hAnsi="Times New Roman" w:cs="Times New Roman"/>
          <w:sz w:val="24"/>
          <w:szCs w:val="24"/>
        </w:rPr>
        <w:t xml:space="preserve"> связа</w:t>
      </w:r>
      <w:r w:rsidR="00A375E8" w:rsidRPr="00A53362">
        <w:rPr>
          <w:rFonts w:ascii="Times New Roman" w:hAnsi="Times New Roman" w:cs="Times New Roman"/>
          <w:sz w:val="24"/>
          <w:szCs w:val="24"/>
        </w:rPr>
        <w:t>н</w:t>
      </w:r>
      <w:r w:rsidR="00A375E8" w:rsidRPr="00A53362">
        <w:rPr>
          <w:rFonts w:ascii="Times New Roman" w:hAnsi="Times New Roman" w:cs="Times New Roman"/>
          <w:sz w:val="24"/>
          <w:szCs w:val="24"/>
        </w:rPr>
        <w:t>ными с поражением суставов, позвоночника и околосуставных мягких тканей</w:t>
      </w:r>
      <w:r w:rsidR="007962C9" w:rsidRPr="00A53362">
        <w:rPr>
          <w:rFonts w:ascii="Times New Roman" w:hAnsi="Times New Roman" w:cs="Times New Roman"/>
          <w:sz w:val="24"/>
          <w:szCs w:val="24"/>
        </w:rPr>
        <w:t>, в случае н</w:t>
      </w:r>
      <w:r w:rsidR="007962C9" w:rsidRPr="00A53362">
        <w:rPr>
          <w:rFonts w:ascii="Times New Roman" w:hAnsi="Times New Roman" w:cs="Times New Roman"/>
          <w:sz w:val="24"/>
          <w:szCs w:val="24"/>
        </w:rPr>
        <w:t>е</w:t>
      </w:r>
      <w:r w:rsidR="007962C9" w:rsidRPr="00A53362">
        <w:rPr>
          <w:rFonts w:ascii="Times New Roman" w:hAnsi="Times New Roman" w:cs="Times New Roman"/>
          <w:sz w:val="24"/>
          <w:szCs w:val="24"/>
        </w:rPr>
        <w:t xml:space="preserve">эффективности парацетамола и при отсутствии </w:t>
      </w:r>
      <w:r w:rsidR="00CE420F" w:rsidRPr="00A53362">
        <w:rPr>
          <w:rFonts w:ascii="Times New Roman" w:hAnsi="Times New Roman" w:cs="Times New Roman"/>
          <w:sz w:val="24"/>
          <w:szCs w:val="24"/>
        </w:rPr>
        <w:t>явных</w:t>
      </w:r>
      <w:r w:rsidR="007962C9" w:rsidRPr="00A53362">
        <w:rPr>
          <w:rFonts w:ascii="Times New Roman" w:hAnsi="Times New Roman" w:cs="Times New Roman"/>
          <w:sz w:val="24"/>
          <w:szCs w:val="24"/>
        </w:rPr>
        <w:t xml:space="preserve"> противопоказаний.  </w:t>
      </w:r>
    </w:p>
    <w:p w:rsidR="00DA423E" w:rsidRPr="00A53362" w:rsidRDefault="00AA26AC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>Комментарий.</w:t>
      </w:r>
      <w:r w:rsidRPr="00A53362">
        <w:rPr>
          <w:rFonts w:ascii="Times New Roman" w:hAnsi="Times New Roman" w:cs="Times New Roman"/>
          <w:sz w:val="24"/>
          <w:szCs w:val="24"/>
        </w:rPr>
        <w:t xml:space="preserve"> 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 xml:space="preserve">НПВП являются  более эффективным средством для </w:t>
      </w:r>
      <w:r w:rsidR="006D5B60" w:rsidRPr="00A53362">
        <w:rPr>
          <w:rFonts w:ascii="Times New Roman" w:hAnsi="Times New Roman" w:cs="Times New Roman"/>
          <w:i/>
          <w:sz w:val="24"/>
          <w:szCs w:val="24"/>
        </w:rPr>
        <w:t>купирования боли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>, св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>я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>занн</w:t>
      </w:r>
      <w:r w:rsidR="006D5B60" w:rsidRPr="00A53362">
        <w:rPr>
          <w:rFonts w:ascii="Times New Roman" w:hAnsi="Times New Roman" w:cs="Times New Roman"/>
          <w:i/>
          <w:sz w:val="24"/>
          <w:szCs w:val="24"/>
        </w:rPr>
        <w:t>ой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 xml:space="preserve"> с поражением суставов и позвоночника, чем парацетамол в дозе 3-4 г/сутки и не уступают по эффективности </w:t>
      </w:r>
      <w:proofErr w:type="spellStart"/>
      <w:r w:rsidR="00A375E8" w:rsidRPr="00A53362">
        <w:rPr>
          <w:rFonts w:ascii="Times New Roman" w:hAnsi="Times New Roman" w:cs="Times New Roman"/>
          <w:i/>
          <w:sz w:val="24"/>
          <w:szCs w:val="24"/>
        </w:rPr>
        <w:t>трамадолу</w:t>
      </w:r>
      <w:proofErr w:type="spellEnd"/>
      <w:r w:rsidR="00A375E8" w:rsidRPr="00A53362">
        <w:rPr>
          <w:rFonts w:ascii="Times New Roman" w:hAnsi="Times New Roman" w:cs="Times New Roman"/>
          <w:i/>
          <w:sz w:val="24"/>
          <w:szCs w:val="24"/>
        </w:rPr>
        <w:t xml:space="preserve"> 200-400 мг/сутки</w:t>
      </w:r>
      <w:r w:rsidR="006D5B60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>(</w:t>
      </w:r>
      <w:r w:rsidR="00A375E8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</w:t>
      </w:r>
      <w:r w:rsidR="00A375E8" w:rsidRPr="00A5336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375E8" w:rsidRPr="00A53362">
        <w:rPr>
          <w:rFonts w:ascii="Times New Roman" w:hAnsi="Times New Roman" w:cs="Times New Roman"/>
          <w:b/>
          <w:i/>
          <w:sz w:val="24"/>
          <w:szCs w:val="24"/>
        </w:rPr>
        <w:t>сти А</w:t>
      </w:r>
      <w:r w:rsidR="006D3CA2" w:rsidRPr="00A53362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5511" w:rsidRPr="00A53362">
        <w:rPr>
          <w:rFonts w:ascii="Times New Roman" w:hAnsi="Times New Roman" w:cs="Times New Roman"/>
          <w:sz w:val="24"/>
          <w:szCs w:val="24"/>
        </w:rPr>
        <w:t>[2-</w:t>
      </w:r>
      <w:r w:rsidR="006D3CA2" w:rsidRPr="00A53362">
        <w:rPr>
          <w:rFonts w:ascii="Times New Roman" w:hAnsi="Times New Roman" w:cs="Times New Roman"/>
          <w:sz w:val="24"/>
          <w:szCs w:val="24"/>
        </w:rPr>
        <w:t>6</w:t>
      </w:r>
      <w:r w:rsidR="00575511" w:rsidRPr="00A53362">
        <w:rPr>
          <w:rFonts w:ascii="Times New Roman" w:hAnsi="Times New Roman" w:cs="Times New Roman"/>
          <w:sz w:val="24"/>
          <w:szCs w:val="24"/>
        </w:rPr>
        <w:t>]</w:t>
      </w:r>
      <w:r w:rsidR="006D3CA2" w:rsidRPr="00A53362">
        <w:rPr>
          <w:rFonts w:ascii="Times New Roman" w:hAnsi="Times New Roman" w:cs="Times New Roman"/>
          <w:sz w:val="24"/>
          <w:szCs w:val="24"/>
        </w:rPr>
        <w:t>.</w:t>
      </w:r>
      <w:r w:rsidR="00575511" w:rsidRPr="00A53362">
        <w:rPr>
          <w:rFonts w:ascii="Times New Roman" w:hAnsi="Times New Roman" w:cs="Times New Roman"/>
          <w:sz w:val="24"/>
          <w:szCs w:val="24"/>
        </w:rPr>
        <w:t xml:space="preserve"> 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>Применение НПВП позволяет добиться значимого уменьшения боли, улучшения фун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>к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>ционального статуса и показателей качества жизни у больных РА, ОА и ССА (</w:t>
      </w:r>
      <w:r w:rsidR="00A375E8" w:rsidRPr="00A53362">
        <w:rPr>
          <w:rFonts w:ascii="Times New Roman" w:hAnsi="Times New Roman" w:cs="Times New Roman"/>
          <w:b/>
          <w:i/>
          <w:sz w:val="24"/>
          <w:szCs w:val="24"/>
        </w:rPr>
        <w:t>уровень д</w:t>
      </w:r>
      <w:r w:rsidR="00A375E8" w:rsidRPr="00A5336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375E8" w:rsidRPr="00A53362">
        <w:rPr>
          <w:rFonts w:ascii="Times New Roman" w:hAnsi="Times New Roman" w:cs="Times New Roman"/>
          <w:b/>
          <w:i/>
          <w:sz w:val="24"/>
          <w:szCs w:val="24"/>
        </w:rPr>
        <w:t>казательности А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6D3CA2" w:rsidRPr="00A53362">
        <w:rPr>
          <w:rFonts w:ascii="Times New Roman" w:hAnsi="Times New Roman" w:cs="Times New Roman"/>
          <w:sz w:val="24"/>
          <w:szCs w:val="24"/>
        </w:rPr>
        <w:t xml:space="preserve"> [7-1</w:t>
      </w:r>
      <w:r w:rsidR="00DE48FD" w:rsidRPr="00A53362">
        <w:rPr>
          <w:rFonts w:ascii="Times New Roman" w:hAnsi="Times New Roman" w:cs="Times New Roman"/>
          <w:sz w:val="24"/>
          <w:szCs w:val="24"/>
        </w:rPr>
        <w:t>3</w:t>
      </w:r>
      <w:r w:rsidR="006D3CA2" w:rsidRPr="00A53362">
        <w:rPr>
          <w:rFonts w:ascii="Times New Roman" w:hAnsi="Times New Roman" w:cs="Times New Roman"/>
          <w:sz w:val="24"/>
          <w:szCs w:val="24"/>
        </w:rPr>
        <w:t>]</w:t>
      </w:r>
      <w:r w:rsidR="00A375E8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E2CE2" w:rsidRPr="00A53362" w:rsidRDefault="00944A9F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Поддержано рекомендациями 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EULAR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>, АРР</w:t>
      </w:r>
      <w:r w:rsidR="00575511"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, национальными рекомендациями </w:t>
      </w:r>
      <w:r w:rsidR="00575511" w:rsidRPr="00A53362">
        <w:rPr>
          <w:rFonts w:ascii="Times New Roman" w:hAnsi="Times New Roman" w:cs="Times New Roman"/>
          <w:sz w:val="24"/>
          <w:szCs w:val="24"/>
        </w:rPr>
        <w:t xml:space="preserve"> [1</w:t>
      </w:r>
      <w:r w:rsidR="00DA423E" w:rsidRPr="00A53362">
        <w:rPr>
          <w:rFonts w:ascii="Times New Roman" w:hAnsi="Times New Roman" w:cs="Times New Roman"/>
          <w:sz w:val="24"/>
          <w:szCs w:val="24"/>
        </w:rPr>
        <w:t>,</w:t>
      </w:r>
      <w:r w:rsidR="00544A05" w:rsidRPr="00A53362">
        <w:rPr>
          <w:rFonts w:ascii="Times New Roman" w:hAnsi="Times New Roman" w:cs="Times New Roman"/>
          <w:sz w:val="24"/>
          <w:szCs w:val="24"/>
        </w:rPr>
        <w:t>14-17</w:t>
      </w:r>
      <w:r w:rsidR="00575511" w:rsidRPr="00A53362">
        <w:rPr>
          <w:rFonts w:ascii="Times New Roman" w:hAnsi="Times New Roman" w:cs="Times New Roman"/>
          <w:sz w:val="24"/>
          <w:szCs w:val="24"/>
        </w:rPr>
        <w:t>]</w:t>
      </w:r>
      <w:r w:rsidR="003E2CE2"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C75C45" w:rsidRPr="00A53362" w:rsidRDefault="009774A1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 xml:space="preserve">2. </w:t>
      </w:r>
      <w:r w:rsidR="004A33AD" w:rsidRPr="00A53362">
        <w:rPr>
          <w:rFonts w:ascii="Times New Roman" w:hAnsi="Times New Roman" w:cs="Times New Roman"/>
          <w:sz w:val="24"/>
          <w:szCs w:val="24"/>
        </w:rPr>
        <w:t xml:space="preserve"> </w:t>
      </w:r>
      <w:r w:rsidRPr="00A53362">
        <w:rPr>
          <w:rFonts w:ascii="Times New Roman" w:hAnsi="Times New Roman" w:cs="Times New Roman"/>
          <w:sz w:val="24"/>
          <w:szCs w:val="24"/>
        </w:rPr>
        <w:t xml:space="preserve">НПВП </w:t>
      </w:r>
      <w:r w:rsidR="00C75C45" w:rsidRPr="00A53362">
        <w:rPr>
          <w:rFonts w:ascii="Times New Roman" w:hAnsi="Times New Roman" w:cs="Times New Roman"/>
          <w:sz w:val="24"/>
          <w:szCs w:val="24"/>
        </w:rPr>
        <w:t xml:space="preserve">при всех РЗ следует назначать в минимально эффективных дозах, учитывая </w:t>
      </w:r>
      <w:r w:rsidR="00E15D19" w:rsidRPr="00A53362">
        <w:rPr>
          <w:rFonts w:ascii="Times New Roman" w:hAnsi="Times New Roman" w:cs="Times New Roman"/>
          <w:sz w:val="24"/>
          <w:szCs w:val="24"/>
        </w:rPr>
        <w:t>во</w:t>
      </w:r>
      <w:r w:rsidR="00E15D19" w:rsidRPr="00A53362">
        <w:rPr>
          <w:rFonts w:ascii="Times New Roman" w:hAnsi="Times New Roman" w:cs="Times New Roman"/>
          <w:sz w:val="24"/>
          <w:szCs w:val="24"/>
        </w:rPr>
        <w:t>з</w:t>
      </w:r>
      <w:r w:rsidR="00E15D19" w:rsidRPr="00A53362">
        <w:rPr>
          <w:rFonts w:ascii="Times New Roman" w:hAnsi="Times New Roman" w:cs="Times New Roman"/>
          <w:sz w:val="24"/>
          <w:szCs w:val="24"/>
        </w:rPr>
        <w:t xml:space="preserve">можный </w:t>
      </w:r>
      <w:r w:rsidR="00C75C45" w:rsidRPr="00A53362">
        <w:rPr>
          <w:rFonts w:ascii="Times New Roman" w:hAnsi="Times New Roman" w:cs="Times New Roman"/>
          <w:sz w:val="24"/>
          <w:szCs w:val="24"/>
        </w:rPr>
        <w:t>риск развития побочных эффектов.  Длительность использования НПВП определ</w:t>
      </w:r>
      <w:r w:rsidR="00C75C45" w:rsidRPr="00A53362">
        <w:rPr>
          <w:rFonts w:ascii="Times New Roman" w:hAnsi="Times New Roman" w:cs="Times New Roman"/>
          <w:sz w:val="24"/>
          <w:szCs w:val="24"/>
        </w:rPr>
        <w:t>я</w:t>
      </w:r>
      <w:r w:rsidR="00C75C45" w:rsidRPr="00A53362">
        <w:rPr>
          <w:rFonts w:ascii="Times New Roman" w:hAnsi="Times New Roman" w:cs="Times New Roman"/>
          <w:sz w:val="24"/>
          <w:szCs w:val="24"/>
        </w:rPr>
        <w:t>ется необходимостью контроля симптомов заболевания. Не следует применять НПВП без о</w:t>
      </w:r>
      <w:r w:rsidR="00C75C45" w:rsidRPr="00A53362">
        <w:rPr>
          <w:rFonts w:ascii="Times New Roman" w:hAnsi="Times New Roman" w:cs="Times New Roman"/>
          <w:sz w:val="24"/>
          <w:szCs w:val="24"/>
        </w:rPr>
        <w:t>с</w:t>
      </w:r>
      <w:r w:rsidR="00C75C45" w:rsidRPr="00A53362">
        <w:rPr>
          <w:rFonts w:ascii="Times New Roman" w:hAnsi="Times New Roman" w:cs="Times New Roman"/>
          <w:sz w:val="24"/>
          <w:szCs w:val="24"/>
        </w:rPr>
        <w:t xml:space="preserve">новного показания – наличия боли.   </w:t>
      </w:r>
    </w:p>
    <w:p w:rsidR="004726B9" w:rsidRPr="00A53362" w:rsidRDefault="00C75C45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>Комментарий.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84204" w:rsidRPr="00A53362">
        <w:rPr>
          <w:rFonts w:ascii="Times New Roman" w:hAnsi="Times New Roman" w:cs="Times New Roman"/>
          <w:i/>
          <w:sz w:val="24"/>
          <w:szCs w:val="24"/>
        </w:rPr>
        <w:t>Наибольшая э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ффективность НПВП </w:t>
      </w:r>
      <w:r w:rsidR="00BF7FB8" w:rsidRPr="00A53362">
        <w:rPr>
          <w:rFonts w:ascii="Times New Roman" w:hAnsi="Times New Roman" w:cs="Times New Roman"/>
          <w:i/>
          <w:sz w:val="24"/>
          <w:szCs w:val="24"/>
        </w:rPr>
        <w:t>показана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при использовании этих пр</w:t>
      </w:r>
      <w:r w:rsidRPr="00A53362">
        <w:rPr>
          <w:rFonts w:ascii="Times New Roman" w:hAnsi="Times New Roman" w:cs="Times New Roman"/>
          <w:i/>
          <w:sz w:val="24"/>
          <w:szCs w:val="24"/>
        </w:rPr>
        <w:t>е</w:t>
      </w:r>
      <w:r w:rsidRPr="00A53362">
        <w:rPr>
          <w:rFonts w:ascii="Times New Roman" w:hAnsi="Times New Roman" w:cs="Times New Roman"/>
          <w:i/>
          <w:sz w:val="24"/>
          <w:szCs w:val="24"/>
        </w:rPr>
        <w:t>паратов в средних и максимальных терапевтических дозах (</w:t>
      </w:r>
      <w:r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доказательности А</w:t>
      </w:r>
      <w:r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024A9E" w:rsidRPr="00A53362">
        <w:rPr>
          <w:rFonts w:ascii="Times New Roman" w:hAnsi="Times New Roman" w:cs="Times New Roman"/>
          <w:sz w:val="24"/>
          <w:szCs w:val="24"/>
        </w:rPr>
        <w:t xml:space="preserve"> [</w:t>
      </w:r>
      <w:r w:rsidR="00E06882" w:rsidRPr="00A53362">
        <w:rPr>
          <w:rFonts w:ascii="Times New Roman" w:hAnsi="Times New Roman" w:cs="Times New Roman"/>
          <w:sz w:val="24"/>
          <w:szCs w:val="24"/>
        </w:rPr>
        <w:t>1,</w:t>
      </w:r>
      <w:r w:rsidR="00B130EB" w:rsidRPr="00A53362">
        <w:rPr>
          <w:rFonts w:ascii="Times New Roman" w:hAnsi="Times New Roman" w:cs="Times New Roman"/>
          <w:sz w:val="24"/>
          <w:szCs w:val="24"/>
        </w:rPr>
        <w:t>18</w:t>
      </w:r>
      <w:r w:rsidR="00024A9E" w:rsidRPr="00A53362">
        <w:rPr>
          <w:rFonts w:ascii="Times New Roman" w:hAnsi="Times New Roman" w:cs="Times New Roman"/>
          <w:sz w:val="24"/>
          <w:szCs w:val="24"/>
        </w:rPr>
        <w:t>-</w:t>
      </w:r>
      <w:r w:rsidR="00B130EB" w:rsidRPr="00A53362">
        <w:rPr>
          <w:rFonts w:ascii="Times New Roman" w:hAnsi="Times New Roman" w:cs="Times New Roman"/>
          <w:sz w:val="24"/>
          <w:szCs w:val="24"/>
        </w:rPr>
        <w:t>2</w:t>
      </w:r>
      <w:r w:rsidR="00E06882" w:rsidRPr="00A53362">
        <w:rPr>
          <w:rFonts w:ascii="Times New Roman" w:hAnsi="Times New Roman" w:cs="Times New Roman"/>
          <w:sz w:val="24"/>
          <w:szCs w:val="24"/>
        </w:rPr>
        <w:t>0</w:t>
      </w:r>
      <w:r w:rsidR="00024A9E" w:rsidRPr="00A53362">
        <w:rPr>
          <w:rFonts w:ascii="Times New Roman" w:hAnsi="Times New Roman" w:cs="Times New Roman"/>
          <w:sz w:val="24"/>
          <w:szCs w:val="24"/>
        </w:rPr>
        <w:t>]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726B9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61635" w:rsidRPr="00A53362">
        <w:rPr>
          <w:rFonts w:ascii="Times New Roman" w:hAnsi="Times New Roman" w:cs="Times New Roman"/>
          <w:i/>
          <w:sz w:val="24"/>
          <w:szCs w:val="24"/>
        </w:rPr>
        <w:t>Прием НПВП не влияет на прогрессирование РА, однако позволяет лучше контр</w:t>
      </w:r>
      <w:r w:rsidR="00861635" w:rsidRPr="00A53362">
        <w:rPr>
          <w:rFonts w:ascii="Times New Roman" w:hAnsi="Times New Roman" w:cs="Times New Roman"/>
          <w:i/>
          <w:sz w:val="24"/>
          <w:szCs w:val="24"/>
        </w:rPr>
        <w:t>о</w:t>
      </w:r>
      <w:r w:rsidR="00861635" w:rsidRPr="00A53362">
        <w:rPr>
          <w:rFonts w:ascii="Times New Roman" w:hAnsi="Times New Roman" w:cs="Times New Roman"/>
          <w:i/>
          <w:sz w:val="24"/>
          <w:szCs w:val="24"/>
        </w:rPr>
        <w:t>лировать симптомы заболевания на фоне терапии БПВП и ГИБТ (</w:t>
      </w:r>
      <w:r w:rsidR="00861635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</w:t>
      </w:r>
      <w:r w:rsidR="00861635" w:rsidRPr="00A5336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861635" w:rsidRPr="00A53362">
        <w:rPr>
          <w:rFonts w:ascii="Times New Roman" w:hAnsi="Times New Roman" w:cs="Times New Roman"/>
          <w:b/>
          <w:i/>
          <w:sz w:val="24"/>
          <w:szCs w:val="24"/>
        </w:rPr>
        <w:t>сти В</w:t>
      </w:r>
      <w:r w:rsidR="00861635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E06882" w:rsidRPr="00A53362">
        <w:rPr>
          <w:rFonts w:ascii="Times New Roman" w:hAnsi="Times New Roman" w:cs="Times New Roman"/>
          <w:sz w:val="24"/>
          <w:szCs w:val="24"/>
        </w:rPr>
        <w:t xml:space="preserve"> [18]</w:t>
      </w:r>
      <w:r w:rsidR="00861635" w:rsidRPr="00A53362">
        <w:rPr>
          <w:rFonts w:ascii="Times New Roman" w:hAnsi="Times New Roman" w:cs="Times New Roman"/>
          <w:i/>
          <w:sz w:val="24"/>
          <w:szCs w:val="24"/>
        </w:rPr>
        <w:t>. Длительный непрерывный прием НПВП позволяет замедлить прогре</w:t>
      </w:r>
      <w:r w:rsidR="00861635" w:rsidRPr="00A53362">
        <w:rPr>
          <w:rFonts w:ascii="Times New Roman" w:hAnsi="Times New Roman" w:cs="Times New Roman"/>
          <w:i/>
          <w:sz w:val="24"/>
          <w:szCs w:val="24"/>
        </w:rPr>
        <w:t>с</w:t>
      </w:r>
      <w:r w:rsidR="00861635" w:rsidRPr="00A53362">
        <w:rPr>
          <w:rFonts w:ascii="Times New Roman" w:hAnsi="Times New Roman" w:cs="Times New Roman"/>
          <w:i/>
          <w:sz w:val="24"/>
          <w:szCs w:val="24"/>
        </w:rPr>
        <w:t xml:space="preserve">сирование  рентгенологических изменений позвоночника </w:t>
      </w:r>
      <w:proofErr w:type="gramStart"/>
      <w:r w:rsidR="00861635" w:rsidRPr="00A53362">
        <w:rPr>
          <w:rFonts w:ascii="Times New Roman" w:hAnsi="Times New Roman" w:cs="Times New Roman"/>
          <w:i/>
          <w:sz w:val="24"/>
          <w:szCs w:val="24"/>
        </w:rPr>
        <w:t>при</w:t>
      </w:r>
      <w:proofErr w:type="gramEnd"/>
      <w:r w:rsidR="00861635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61635" w:rsidRPr="00A53362">
        <w:rPr>
          <w:rFonts w:ascii="Times New Roman" w:hAnsi="Times New Roman" w:cs="Times New Roman"/>
          <w:i/>
          <w:sz w:val="24"/>
          <w:szCs w:val="24"/>
        </w:rPr>
        <w:t>АС</w:t>
      </w:r>
      <w:proofErr w:type="gramEnd"/>
      <w:r w:rsidR="00861635" w:rsidRPr="00A5336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61635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</w:t>
      </w:r>
      <w:r w:rsidR="00861635" w:rsidRPr="00A5336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861635" w:rsidRPr="00A53362">
        <w:rPr>
          <w:rFonts w:ascii="Times New Roman" w:hAnsi="Times New Roman" w:cs="Times New Roman"/>
          <w:b/>
          <w:i/>
          <w:sz w:val="24"/>
          <w:szCs w:val="24"/>
        </w:rPr>
        <w:t>сти В</w:t>
      </w:r>
      <w:r w:rsidR="00861635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5A5205" w:rsidRPr="00A53362">
        <w:rPr>
          <w:rFonts w:ascii="Times New Roman" w:hAnsi="Times New Roman" w:cs="Times New Roman"/>
          <w:sz w:val="24"/>
          <w:szCs w:val="24"/>
        </w:rPr>
        <w:t xml:space="preserve"> [21-24]</w:t>
      </w:r>
      <w:r w:rsidR="00861635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726B9" w:rsidRPr="00A53362">
        <w:rPr>
          <w:rFonts w:ascii="Times New Roman" w:hAnsi="Times New Roman" w:cs="Times New Roman"/>
          <w:i/>
          <w:sz w:val="24"/>
          <w:szCs w:val="24"/>
        </w:rPr>
        <w:t>Длительн</w:t>
      </w:r>
      <w:r w:rsidR="0099298D" w:rsidRPr="00A53362">
        <w:rPr>
          <w:rFonts w:ascii="Times New Roman" w:hAnsi="Times New Roman" w:cs="Times New Roman"/>
          <w:i/>
          <w:sz w:val="24"/>
          <w:szCs w:val="24"/>
        </w:rPr>
        <w:t>ый</w:t>
      </w:r>
      <w:r w:rsidR="004726B9" w:rsidRPr="00A53362">
        <w:rPr>
          <w:rFonts w:ascii="Times New Roman" w:hAnsi="Times New Roman" w:cs="Times New Roman"/>
          <w:i/>
          <w:sz w:val="24"/>
          <w:szCs w:val="24"/>
        </w:rPr>
        <w:t xml:space="preserve"> непрерывн</w:t>
      </w:r>
      <w:r w:rsidR="0099298D" w:rsidRPr="00A53362">
        <w:rPr>
          <w:rFonts w:ascii="Times New Roman" w:hAnsi="Times New Roman" w:cs="Times New Roman"/>
          <w:i/>
          <w:sz w:val="24"/>
          <w:szCs w:val="24"/>
        </w:rPr>
        <w:t>ый</w:t>
      </w:r>
      <w:r w:rsidR="004726B9" w:rsidRPr="00A53362">
        <w:rPr>
          <w:rFonts w:ascii="Times New Roman" w:hAnsi="Times New Roman" w:cs="Times New Roman"/>
          <w:i/>
          <w:sz w:val="24"/>
          <w:szCs w:val="24"/>
        </w:rPr>
        <w:t xml:space="preserve"> при</w:t>
      </w:r>
      <w:r w:rsidR="0099298D" w:rsidRPr="00A53362">
        <w:rPr>
          <w:rFonts w:ascii="Times New Roman" w:hAnsi="Times New Roman" w:cs="Times New Roman"/>
          <w:i/>
          <w:sz w:val="24"/>
          <w:szCs w:val="24"/>
        </w:rPr>
        <w:t>е</w:t>
      </w:r>
      <w:r w:rsidR="004726B9" w:rsidRPr="00A53362">
        <w:rPr>
          <w:rFonts w:ascii="Times New Roman" w:hAnsi="Times New Roman" w:cs="Times New Roman"/>
          <w:i/>
          <w:sz w:val="24"/>
          <w:szCs w:val="24"/>
        </w:rPr>
        <w:t xml:space="preserve">м </w:t>
      </w:r>
      <w:r w:rsidR="00861635" w:rsidRPr="00A53362">
        <w:rPr>
          <w:rFonts w:ascii="Times New Roman" w:hAnsi="Times New Roman" w:cs="Times New Roman"/>
          <w:i/>
          <w:sz w:val="24"/>
          <w:szCs w:val="24"/>
        </w:rPr>
        <w:t>с-</w:t>
      </w:r>
      <w:r w:rsidR="004726B9" w:rsidRPr="00A53362">
        <w:rPr>
          <w:rFonts w:ascii="Times New Roman" w:hAnsi="Times New Roman" w:cs="Times New Roman"/>
          <w:i/>
          <w:sz w:val="24"/>
          <w:szCs w:val="24"/>
        </w:rPr>
        <w:t>НПВП позволяет лучше контролир</w:t>
      </w:r>
      <w:r w:rsidR="004726B9" w:rsidRPr="00A53362">
        <w:rPr>
          <w:rFonts w:ascii="Times New Roman" w:hAnsi="Times New Roman" w:cs="Times New Roman"/>
          <w:i/>
          <w:sz w:val="24"/>
          <w:szCs w:val="24"/>
        </w:rPr>
        <w:t>о</w:t>
      </w:r>
      <w:r w:rsidR="004726B9" w:rsidRPr="00A53362">
        <w:rPr>
          <w:rFonts w:ascii="Times New Roman" w:hAnsi="Times New Roman" w:cs="Times New Roman"/>
          <w:i/>
          <w:sz w:val="24"/>
          <w:szCs w:val="24"/>
        </w:rPr>
        <w:t>вать симптомы ОА, чем прерывистый прием (</w:t>
      </w:r>
      <w:r w:rsidR="004726B9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доказательности А</w:t>
      </w:r>
      <w:r w:rsidR="004726B9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275546" w:rsidRPr="00A53362">
        <w:rPr>
          <w:rFonts w:ascii="Times New Roman" w:hAnsi="Times New Roman" w:cs="Times New Roman"/>
          <w:sz w:val="24"/>
          <w:szCs w:val="24"/>
        </w:rPr>
        <w:t xml:space="preserve"> [25,26]</w:t>
      </w:r>
      <w:r w:rsidR="004726B9" w:rsidRPr="00A53362">
        <w:rPr>
          <w:rFonts w:ascii="Times New Roman" w:hAnsi="Times New Roman" w:cs="Times New Roman"/>
          <w:i/>
          <w:sz w:val="24"/>
          <w:szCs w:val="24"/>
        </w:rPr>
        <w:t>.</w:t>
      </w:r>
      <w:r w:rsidR="00284876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2D45" w:rsidRPr="00A53362">
        <w:rPr>
          <w:rFonts w:ascii="Times New Roman" w:hAnsi="Times New Roman" w:cs="Times New Roman"/>
          <w:i/>
          <w:sz w:val="24"/>
          <w:szCs w:val="24"/>
        </w:rPr>
        <w:t>НПВП относятся к числу наиболее эффективных средств</w:t>
      </w:r>
      <w:r w:rsidR="00F55975" w:rsidRPr="00A53362">
        <w:rPr>
          <w:rFonts w:ascii="Times New Roman" w:hAnsi="Times New Roman" w:cs="Times New Roman"/>
          <w:i/>
          <w:sz w:val="24"/>
          <w:szCs w:val="24"/>
        </w:rPr>
        <w:t xml:space="preserve">, которые используются </w:t>
      </w:r>
      <w:r w:rsidR="00672D45" w:rsidRPr="00A53362">
        <w:rPr>
          <w:rFonts w:ascii="Times New Roman" w:hAnsi="Times New Roman" w:cs="Times New Roman"/>
          <w:i/>
          <w:sz w:val="24"/>
          <w:szCs w:val="24"/>
        </w:rPr>
        <w:t xml:space="preserve"> для купирования острого подагр</w:t>
      </w:r>
      <w:r w:rsidR="00672D45" w:rsidRPr="00A53362">
        <w:rPr>
          <w:rFonts w:ascii="Times New Roman" w:hAnsi="Times New Roman" w:cs="Times New Roman"/>
          <w:i/>
          <w:sz w:val="24"/>
          <w:szCs w:val="24"/>
        </w:rPr>
        <w:t>и</w:t>
      </w:r>
      <w:r w:rsidR="00672D45" w:rsidRPr="00A53362">
        <w:rPr>
          <w:rFonts w:ascii="Times New Roman" w:hAnsi="Times New Roman" w:cs="Times New Roman"/>
          <w:i/>
          <w:sz w:val="24"/>
          <w:szCs w:val="24"/>
        </w:rPr>
        <w:t>ческого артрита, при этом их назначают в максимальных тер</w:t>
      </w:r>
      <w:r w:rsidR="00672D45" w:rsidRPr="00A53362">
        <w:rPr>
          <w:rFonts w:ascii="Times New Roman" w:hAnsi="Times New Roman" w:cs="Times New Roman"/>
          <w:i/>
          <w:sz w:val="24"/>
          <w:szCs w:val="24"/>
        </w:rPr>
        <w:t>а</w:t>
      </w:r>
      <w:r w:rsidR="00672D45" w:rsidRPr="00A53362">
        <w:rPr>
          <w:rFonts w:ascii="Times New Roman" w:hAnsi="Times New Roman" w:cs="Times New Roman"/>
          <w:i/>
          <w:sz w:val="24"/>
          <w:szCs w:val="24"/>
        </w:rPr>
        <w:t>певтических дозах</w:t>
      </w:r>
      <w:r w:rsidR="00845B62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5B62" w:rsidRPr="00A53362">
        <w:rPr>
          <w:rFonts w:ascii="Times New Roman" w:hAnsi="Times New Roman" w:cs="Times New Roman"/>
          <w:sz w:val="24"/>
          <w:szCs w:val="24"/>
        </w:rPr>
        <w:t>[27]</w:t>
      </w:r>
      <w:r w:rsidR="00672D45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155A5" w:rsidRPr="00A53362" w:rsidRDefault="00944A9F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Поддержано рекомендациями 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EULAR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>, АРР</w:t>
      </w:r>
      <w:r w:rsidR="00496F64" w:rsidRPr="00A53362">
        <w:rPr>
          <w:rFonts w:ascii="Times New Roman" w:hAnsi="Times New Roman" w:cs="Times New Roman"/>
          <w:b/>
          <w:sz w:val="24"/>
          <w:szCs w:val="24"/>
          <w:u w:val="single"/>
        </w:rPr>
        <w:t>, национальными рекомендациями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5155A5" w:rsidRPr="00A53362">
        <w:rPr>
          <w:rFonts w:ascii="Times New Roman" w:hAnsi="Times New Roman" w:cs="Times New Roman"/>
          <w:sz w:val="24"/>
          <w:szCs w:val="24"/>
        </w:rPr>
        <w:t>[1,14-17]</w:t>
      </w:r>
      <w:r w:rsidR="005155A5"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106AEC" w:rsidRPr="00A53362" w:rsidRDefault="00DF1AB5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 xml:space="preserve">3. </w:t>
      </w:r>
      <w:r w:rsidR="004A33AD" w:rsidRPr="00A53362">
        <w:rPr>
          <w:rFonts w:ascii="Times New Roman" w:hAnsi="Times New Roman" w:cs="Times New Roman"/>
          <w:sz w:val="24"/>
          <w:szCs w:val="24"/>
        </w:rPr>
        <w:t xml:space="preserve"> </w:t>
      </w:r>
      <w:r w:rsidR="00106AEC" w:rsidRPr="00A53362">
        <w:rPr>
          <w:rFonts w:ascii="Times New Roman" w:hAnsi="Times New Roman" w:cs="Times New Roman"/>
          <w:sz w:val="24"/>
          <w:szCs w:val="24"/>
        </w:rPr>
        <w:t>Предпочтительным способом использования НПВП является пероральный прием. Прим</w:t>
      </w:r>
      <w:r w:rsidR="00106AEC" w:rsidRPr="00A53362">
        <w:rPr>
          <w:rFonts w:ascii="Times New Roman" w:hAnsi="Times New Roman" w:cs="Times New Roman"/>
          <w:sz w:val="24"/>
          <w:szCs w:val="24"/>
        </w:rPr>
        <w:t>е</w:t>
      </w:r>
      <w:r w:rsidR="00106AEC" w:rsidRPr="00A53362">
        <w:rPr>
          <w:rFonts w:ascii="Times New Roman" w:hAnsi="Times New Roman" w:cs="Times New Roman"/>
          <w:sz w:val="24"/>
          <w:szCs w:val="24"/>
        </w:rPr>
        <w:t>нение инъекционных форм НПВП показано для кратковременного (1-2 дня) купирования острой боли или при невозможности перорального приема (нарушение проходимости или стойкое нарушение функции ЖКТ). Ректальные свечи с НПВП следует рекомендовать при н</w:t>
      </w:r>
      <w:r w:rsidR="00106AEC" w:rsidRPr="00A53362">
        <w:rPr>
          <w:rFonts w:ascii="Times New Roman" w:hAnsi="Times New Roman" w:cs="Times New Roman"/>
          <w:sz w:val="24"/>
          <w:szCs w:val="24"/>
        </w:rPr>
        <w:t>е</w:t>
      </w:r>
      <w:r w:rsidR="00106AEC" w:rsidRPr="00A53362">
        <w:rPr>
          <w:rFonts w:ascii="Times New Roman" w:hAnsi="Times New Roman" w:cs="Times New Roman"/>
          <w:sz w:val="24"/>
          <w:szCs w:val="24"/>
        </w:rPr>
        <w:t xml:space="preserve">возможности их перорального приема. </w:t>
      </w:r>
    </w:p>
    <w:p w:rsidR="00F35C84" w:rsidRPr="00A53362" w:rsidRDefault="00106AEC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>Комментарий.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7FB8" w:rsidRPr="00A53362">
        <w:rPr>
          <w:rFonts w:ascii="Times New Roman" w:hAnsi="Times New Roman" w:cs="Times New Roman"/>
          <w:i/>
          <w:sz w:val="24"/>
          <w:szCs w:val="24"/>
        </w:rPr>
        <w:t>Эффективность НПВП при пероральном приеме, в/</w:t>
      </w:r>
      <w:proofErr w:type="gramStart"/>
      <w:r w:rsidR="00BF7FB8" w:rsidRPr="00A53362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="00BF7FB8" w:rsidRPr="00A53362">
        <w:rPr>
          <w:rFonts w:ascii="Times New Roman" w:hAnsi="Times New Roman" w:cs="Times New Roman"/>
          <w:i/>
          <w:sz w:val="24"/>
          <w:szCs w:val="24"/>
        </w:rPr>
        <w:t xml:space="preserve"> введении и использов</w:t>
      </w:r>
      <w:r w:rsidR="00BF7FB8" w:rsidRPr="00A53362">
        <w:rPr>
          <w:rFonts w:ascii="Times New Roman" w:hAnsi="Times New Roman" w:cs="Times New Roman"/>
          <w:i/>
          <w:sz w:val="24"/>
          <w:szCs w:val="24"/>
        </w:rPr>
        <w:t>а</w:t>
      </w:r>
      <w:r w:rsidR="00BF7FB8" w:rsidRPr="00A53362">
        <w:rPr>
          <w:rFonts w:ascii="Times New Roman" w:hAnsi="Times New Roman" w:cs="Times New Roman"/>
          <w:i/>
          <w:sz w:val="24"/>
          <w:szCs w:val="24"/>
        </w:rPr>
        <w:t>нии ректальных свечей не различается (</w:t>
      </w:r>
      <w:r w:rsidR="00BF7FB8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доказательности В</w:t>
      </w:r>
      <w:r w:rsidR="00BF7FB8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D7731A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F82" w:rsidRPr="00A53362">
        <w:rPr>
          <w:rFonts w:ascii="Times New Roman" w:hAnsi="Times New Roman" w:cs="Times New Roman"/>
          <w:sz w:val="24"/>
          <w:szCs w:val="24"/>
        </w:rPr>
        <w:t>[2</w:t>
      </w:r>
      <w:r w:rsidR="0051467C" w:rsidRPr="00A53362">
        <w:rPr>
          <w:rFonts w:ascii="Times New Roman" w:hAnsi="Times New Roman" w:cs="Times New Roman"/>
          <w:sz w:val="24"/>
          <w:szCs w:val="24"/>
        </w:rPr>
        <w:t>8</w:t>
      </w:r>
      <w:r w:rsidR="00C66F82" w:rsidRPr="00A53362">
        <w:rPr>
          <w:rFonts w:ascii="Times New Roman" w:hAnsi="Times New Roman" w:cs="Times New Roman"/>
          <w:sz w:val="24"/>
          <w:szCs w:val="24"/>
        </w:rPr>
        <w:t>-</w:t>
      </w:r>
      <w:r w:rsidR="00B70C8E" w:rsidRPr="00A53362">
        <w:rPr>
          <w:rFonts w:ascii="Times New Roman" w:hAnsi="Times New Roman" w:cs="Times New Roman"/>
          <w:sz w:val="24"/>
          <w:szCs w:val="24"/>
        </w:rPr>
        <w:t>3</w:t>
      </w:r>
      <w:r w:rsidR="0051467C" w:rsidRPr="00A53362">
        <w:rPr>
          <w:rFonts w:ascii="Times New Roman" w:hAnsi="Times New Roman" w:cs="Times New Roman"/>
          <w:sz w:val="24"/>
          <w:szCs w:val="24"/>
        </w:rPr>
        <w:t>1</w:t>
      </w:r>
      <w:r w:rsidR="00C66F82" w:rsidRPr="00A53362">
        <w:rPr>
          <w:rFonts w:ascii="Times New Roman" w:hAnsi="Times New Roman" w:cs="Times New Roman"/>
          <w:sz w:val="24"/>
          <w:szCs w:val="24"/>
        </w:rPr>
        <w:t>]</w:t>
      </w:r>
      <w:r w:rsidR="00BF7FB8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F6549" w:rsidRPr="00A53362">
        <w:rPr>
          <w:rFonts w:ascii="Times New Roman" w:hAnsi="Times New Roman" w:cs="Times New Roman"/>
          <w:i/>
          <w:sz w:val="24"/>
          <w:szCs w:val="24"/>
        </w:rPr>
        <w:t>По да</w:t>
      </w:r>
      <w:r w:rsidR="00DF6549" w:rsidRPr="00A53362">
        <w:rPr>
          <w:rFonts w:ascii="Times New Roman" w:hAnsi="Times New Roman" w:cs="Times New Roman"/>
          <w:i/>
          <w:sz w:val="24"/>
          <w:szCs w:val="24"/>
        </w:rPr>
        <w:t>н</w:t>
      </w:r>
      <w:r w:rsidR="00DF6549" w:rsidRPr="00A53362">
        <w:rPr>
          <w:rFonts w:ascii="Times New Roman" w:hAnsi="Times New Roman" w:cs="Times New Roman"/>
          <w:i/>
          <w:sz w:val="24"/>
          <w:szCs w:val="24"/>
        </w:rPr>
        <w:t xml:space="preserve">ным </w:t>
      </w:r>
      <w:r w:rsidR="00542A66" w:rsidRPr="00A53362">
        <w:rPr>
          <w:rFonts w:ascii="Times New Roman" w:hAnsi="Times New Roman" w:cs="Times New Roman"/>
          <w:i/>
          <w:sz w:val="24"/>
          <w:szCs w:val="24"/>
        </w:rPr>
        <w:t xml:space="preserve">клинических и </w:t>
      </w:r>
      <w:r w:rsidR="00DF6549" w:rsidRPr="00A53362">
        <w:rPr>
          <w:rFonts w:ascii="Times New Roman" w:hAnsi="Times New Roman" w:cs="Times New Roman"/>
          <w:i/>
          <w:sz w:val="24"/>
          <w:szCs w:val="24"/>
        </w:rPr>
        <w:t>популяционных исследований, использование НПВП в виде ректальных свечей не снижает риск развития осложнений со стороны верхних отделов ЖКТ</w:t>
      </w:r>
      <w:r w:rsidR="00542A66" w:rsidRPr="00A5336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42A66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</w:t>
      </w:r>
      <w:r w:rsidR="00542A66" w:rsidRPr="00A5336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542A66" w:rsidRPr="00A53362">
        <w:rPr>
          <w:rFonts w:ascii="Times New Roman" w:hAnsi="Times New Roman" w:cs="Times New Roman"/>
          <w:b/>
          <w:i/>
          <w:sz w:val="24"/>
          <w:szCs w:val="24"/>
        </w:rPr>
        <w:t>тельности В</w:t>
      </w:r>
      <w:r w:rsidR="00542A66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C66F82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6F82" w:rsidRPr="00A53362">
        <w:rPr>
          <w:rFonts w:ascii="Times New Roman" w:hAnsi="Times New Roman" w:cs="Times New Roman"/>
          <w:sz w:val="24"/>
          <w:szCs w:val="24"/>
        </w:rPr>
        <w:t>[3</w:t>
      </w:r>
      <w:r w:rsidR="0051467C" w:rsidRPr="00A53362">
        <w:rPr>
          <w:rFonts w:ascii="Times New Roman" w:hAnsi="Times New Roman" w:cs="Times New Roman"/>
          <w:sz w:val="24"/>
          <w:szCs w:val="24"/>
        </w:rPr>
        <w:t>2</w:t>
      </w:r>
      <w:r w:rsidR="00C66F82" w:rsidRPr="00A53362">
        <w:rPr>
          <w:rFonts w:ascii="Times New Roman" w:hAnsi="Times New Roman" w:cs="Times New Roman"/>
          <w:sz w:val="24"/>
          <w:szCs w:val="24"/>
        </w:rPr>
        <w:t>,3</w:t>
      </w:r>
      <w:r w:rsidR="0051467C" w:rsidRPr="00A53362">
        <w:rPr>
          <w:rFonts w:ascii="Times New Roman" w:hAnsi="Times New Roman" w:cs="Times New Roman"/>
          <w:sz w:val="24"/>
          <w:szCs w:val="24"/>
        </w:rPr>
        <w:t>3</w:t>
      </w:r>
      <w:r w:rsidR="00C66F82" w:rsidRPr="00A53362">
        <w:rPr>
          <w:rFonts w:ascii="Times New Roman" w:hAnsi="Times New Roman" w:cs="Times New Roman"/>
          <w:sz w:val="24"/>
          <w:szCs w:val="24"/>
        </w:rPr>
        <w:t>]</w:t>
      </w:r>
      <w:r w:rsidR="00DF6549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44A9F" w:rsidRPr="00A53362" w:rsidRDefault="00944A9F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Поддержано рекомендациями  АРР </w:t>
      </w:r>
      <w:r w:rsidR="006D4172" w:rsidRPr="00A53362">
        <w:rPr>
          <w:rFonts w:ascii="Times New Roman" w:hAnsi="Times New Roman" w:cs="Times New Roman"/>
          <w:sz w:val="24"/>
          <w:szCs w:val="24"/>
        </w:rPr>
        <w:t>[1]</w:t>
      </w:r>
      <w:r w:rsidR="006D4172" w:rsidRPr="00A53362">
        <w:rPr>
          <w:rFonts w:ascii="Times New Roman" w:hAnsi="Times New Roman" w:cs="Times New Roman"/>
          <w:i/>
          <w:sz w:val="24"/>
          <w:szCs w:val="24"/>
        </w:rPr>
        <w:t>.</w:t>
      </w:r>
    </w:p>
    <w:p w:rsidR="007B2CA1" w:rsidRPr="00A53362" w:rsidRDefault="007B2CA1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>4.  Локальные формы НПВП (мази и гели) показаны при мон</w:t>
      </w:r>
      <w:proofErr w:type="gramStart"/>
      <w:r w:rsidRPr="00A5336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533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олигоартикулярном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 пор</w:t>
      </w:r>
      <w:r w:rsidRPr="00A53362">
        <w:rPr>
          <w:rFonts w:ascii="Times New Roman" w:hAnsi="Times New Roman" w:cs="Times New Roman"/>
          <w:sz w:val="24"/>
          <w:szCs w:val="24"/>
        </w:rPr>
        <w:t>а</w:t>
      </w:r>
      <w:r w:rsidRPr="00A53362">
        <w:rPr>
          <w:rFonts w:ascii="Times New Roman" w:hAnsi="Times New Roman" w:cs="Times New Roman"/>
          <w:sz w:val="24"/>
          <w:szCs w:val="24"/>
        </w:rPr>
        <w:t>жении, при местной патологии околосуставных мягких тканей (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тендиниты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, тендовагиниты, бурситы), а также как дополнение при системном использовании этих лекарств. Локальные формы НПВП могут быть использованы у пациентов с высоким риском осложнений при </w:t>
      </w:r>
      <w:r w:rsidRPr="00A53362">
        <w:rPr>
          <w:rFonts w:ascii="Times New Roman" w:hAnsi="Times New Roman" w:cs="Times New Roman"/>
          <w:sz w:val="24"/>
          <w:szCs w:val="24"/>
        </w:rPr>
        <w:lastRenderedPageBreak/>
        <w:t>наличии ограничений в отношении системного применения этих лекарств (</w:t>
      </w:r>
      <w:r w:rsidRPr="00A53362">
        <w:rPr>
          <w:rFonts w:ascii="Times New Roman" w:hAnsi="Times New Roman" w:cs="Times New Roman"/>
          <w:b/>
          <w:sz w:val="24"/>
          <w:szCs w:val="24"/>
        </w:rPr>
        <w:t>уровень доказ</w:t>
      </w:r>
      <w:r w:rsidRPr="00A53362">
        <w:rPr>
          <w:rFonts w:ascii="Times New Roman" w:hAnsi="Times New Roman" w:cs="Times New Roman"/>
          <w:b/>
          <w:sz w:val="24"/>
          <w:szCs w:val="24"/>
        </w:rPr>
        <w:t>а</w:t>
      </w:r>
      <w:r w:rsidRPr="00A53362">
        <w:rPr>
          <w:rFonts w:ascii="Times New Roman" w:hAnsi="Times New Roman" w:cs="Times New Roman"/>
          <w:b/>
          <w:sz w:val="24"/>
          <w:szCs w:val="24"/>
        </w:rPr>
        <w:t>тельности А</w:t>
      </w:r>
      <w:r w:rsidRPr="00A5336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A0F1D" w:rsidRPr="00A53362" w:rsidRDefault="00DA0F1D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>Комментарий.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Локальные формы НПВП являются эффективным </w:t>
      </w:r>
      <w:r w:rsidR="00486550" w:rsidRPr="00A53362">
        <w:rPr>
          <w:rFonts w:ascii="Times New Roman" w:hAnsi="Times New Roman" w:cs="Times New Roman"/>
          <w:i/>
          <w:sz w:val="24"/>
          <w:szCs w:val="24"/>
        </w:rPr>
        <w:t xml:space="preserve"> самостоятельным </w:t>
      </w:r>
      <w:r w:rsidRPr="00A53362">
        <w:rPr>
          <w:rFonts w:ascii="Times New Roman" w:hAnsi="Times New Roman" w:cs="Times New Roman"/>
          <w:i/>
          <w:sz w:val="24"/>
          <w:szCs w:val="24"/>
        </w:rPr>
        <w:t>симптоматическим средством при ОА коленных суставов и мелких суставов кистей (</w:t>
      </w:r>
      <w:r w:rsidRPr="00A53362">
        <w:rPr>
          <w:rFonts w:ascii="Times New Roman" w:hAnsi="Times New Roman" w:cs="Times New Roman"/>
          <w:b/>
          <w:i/>
          <w:sz w:val="24"/>
          <w:szCs w:val="24"/>
        </w:rPr>
        <w:t>ур</w:t>
      </w:r>
      <w:r w:rsidRPr="00A5336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A53362">
        <w:rPr>
          <w:rFonts w:ascii="Times New Roman" w:hAnsi="Times New Roman" w:cs="Times New Roman"/>
          <w:b/>
          <w:i/>
          <w:sz w:val="24"/>
          <w:szCs w:val="24"/>
        </w:rPr>
        <w:t xml:space="preserve">вень доказательности </w:t>
      </w:r>
      <w:r w:rsidR="00A7239F" w:rsidRPr="00A5336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F673DA" w:rsidRPr="00A53362">
        <w:rPr>
          <w:rFonts w:ascii="Times New Roman" w:hAnsi="Times New Roman" w:cs="Times New Roman"/>
          <w:sz w:val="24"/>
          <w:szCs w:val="24"/>
        </w:rPr>
        <w:t xml:space="preserve"> [34-36]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357E77" w:rsidRPr="00A53362" w:rsidRDefault="00357E77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Поддержано рекомендациями 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EULAR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, АРР  </w:t>
      </w:r>
      <w:r w:rsidR="00EE2027" w:rsidRPr="00A53362">
        <w:rPr>
          <w:rFonts w:ascii="Times New Roman" w:hAnsi="Times New Roman" w:cs="Times New Roman"/>
          <w:sz w:val="24"/>
          <w:szCs w:val="24"/>
        </w:rPr>
        <w:t>[1,</w:t>
      </w:r>
      <w:r w:rsidR="00F673DA" w:rsidRPr="00A53362">
        <w:rPr>
          <w:rFonts w:ascii="Times New Roman" w:hAnsi="Times New Roman" w:cs="Times New Roman"/>
          <w:sz w:val="24"/>
          <w:szCs w:val="24"/>
        </w:rPr>
        <w:t>10,11</w:t>
      </w:r>
      <w:r w:rsidR="00EE2027" w:rsidRPr="00A53362">
        <w:rPr>
          <w:rFonts w:ascii="Times New Roman" w:hAnsi="Times New Roman" w:cs="Times New Roman"/>
          <w:sz w:val="24"/>
          <w:szCs w:val="24"/>
        </w:rPr>
        <w:t>]</w:t>
      </w:r>
      <w:r w:rsidR="00EE2027" w:rsidRPr="00A53362">
        <w:rPr>
          <w:rFonts w:ascii="Times New Roman" w:hAnsi="Times New Roman" w:cs="Times New Roman"/>
          <w:i/>
          <w:sz w:val="24"/>
          <w:szCs w:val="24"/>
        </w:rPr>
        <w:t>.</w:t>
      </w:r>
    </w:p>
    <w:p w:rsidR="00FB18CE" w:rsidRPr="00A53362" w:rsidRDefault="00486550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 xml:space="preserve">5. </w:t>
      </w:r>
      <w:r w:rsidR="00FB18CE" w:rsidRPr="00A53362">
        <w:rPr>
          <w:rFonts w:ascii="Times New Roman" w:hAnsi="Times New Roman" w:cs="Times New Roman"/>
          <w:sz w:val="24"/>
          <w:szCs w:val="24"/>
        </w:rPr>
        <w:t xml:space="preserve">Для профилактики </w:t>
      </w:r>
      <w:proofErr w:type="gramStart"/>
      <w:r w:rsidR="00FB18CE" w:rsidRPr="00A53362">
        <w:rPr>
          <w:rFonts w:ascii="Times New Roman" w:hAnsi="Times New Roman" w:cs="Times New Roman"/>
          <w:sz w:val="24"/>
          <w:szCs w:val="24"/>
        </w:rPr>
        <w:t>класс-специфических</w:t>
      </w:r>
      <w:proofErr w:type="gramEnd"/>
      <w:r w:rsidR="00FB18CE" w:rsidRPr="00A53362">
        <w:rPr>
          <w:rFonts w:ascii="Times New Roman" w:hAnsi="Times New Roman" w:cs="Times New Roman"/>
          <w:sz w:val="24"/>
          <w:szCs w:val="24"/>
        </w:rPr>
        <w:t xml:space="preserve"> осложнений перед назначением НПВП следует определить наличие факторов риска (см. таблицу). Выбор НПВП должен базироваться на оценке безопасности применения конкретного препарата в зависимости от вероятности ра</w:t>
      </w:r>
      <w:r w:rsidR="00FB18CE" w:rsidRPr="00A53362">
        <w:rPr>
          <w:rFonts w:ascii="Times New Roman" w:hAnsi="Times New Roman" w:cs="Times New Roman"/>
          <w:sz w:val="24"/>
          <w:szCs w:val="24"/>
        </w:rPr>
        <w:t>з</w:t>
      </w:r>
      <w:r w:rsidR="00FB18CE" w:rsidRPr="00A53362">
        <w:rPr>
          <w:rFonts w:ascii="Times New Roman" w:hAnsi="Times New Roman" w:cs="Times New Roman"/>
          <w:sz w:val="24"/>
          <w:szCs w:val="24"/>
        </w:rPr>
        <w:t>вития побочных эффектов.</w:t>
      </w:r>
    </w:p>
    <w:p w:rsidR="00357E77" w:rsidRPr="00A53362" w:rsidRDefault="00FB18CE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>Комментарий.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Индивидуальный риск </w:t>
      </w:r>
      <w:r w:rsidR="00336BD3" w:rsidRPr="00A53362">
        <w:rPr>
          <w:rFonts w:ascii="Times New Roman" w:hAnsi="Times New Roman" w:cs="Times New Roman"/>
          <w:i/>
          <w:sz w:val="24"/>
          <w:szCs w:val="24"/>
        </w:rPr>
        <w:t xml:space="preserve">осложнений </w:t>
      </w:r>
      <w:r w:rsidRPr="00A53362">
        <w:rPr>
          <w:rFonts w:ascii="Times New Roman" w:hAnsi="Times New Roman" w:cs="Times New Roman"/>
          <w:i/>
          <w:sz w:val="24"/>
          <w:szCs w:val="24"/>
        </w:rPr>
        <w:t>для конкретных представителей гру</w:t>
      </w:r>
      <w:r w:rsidRPr="00A53362">
        <w:rPr>
          <w:rFonts w:ascii="Times New Roman" w:hAnsi="Times New Roman" w:cs="Times New Roman"/>
          <w:i/>
          <w:sz w:val="24"/>
          <w:szCs w:val="24"/>
        </w:rPr>
        <w:t>п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пы НПВП </w:t>
      </w:r>
      <w:r w:rsidR="00E01CFC" w:rsidRPr="00A53362">
        <w:rPr>
          <w:rFonts w:ascii="Times New Roman" w:hAnsi="Times New Roman" w:cs="Times New Roman"/>
          <w:i/>
          <w:sz w:val="24"/>
          <w:szCs w:val="24"/>
        </w:rPr>
        <w:t xml:space="preserve">определен </w:t>
      </w:r>
      <w:r w:rsidR="00A36A13" w:rsidRPr="00A53362">
        <w:rPr>
          <w:rFonts w:ascii="Times New Roman" w:hAnsi="Times New Roman" w:cs="Times New Roman"/>
          <w:i/>
          <w:sz w:val="24"/>
          <w:szCs w:val="24"/>
        </w:rPr>
        <w:t xml:space="preserve">в ходе серии РПКИ, </w:t>
      </w:r>
      <w:proofErr w:type="spellStart"/>
      <w:r w:rsidR="00A36A13" w:rsidRPr="00A53362">
        <w:rPr>
          <w:rFonts w:ascii="Times New Roman" w:hAnsi="Times New Roman" w:cs="Times New Roman"/>
          <w:i/>
          <w:sz w:val="24"/>
          <w:szCs w:val="24"/>
        </w:rPr>
        <w:t>метаанализ</w:t>
      </w:r>
      <w:r w:rsidR="00E915D3" w:rsidRPr="00A53362">
        <w:rPr>
          <w:rFonts w:ascii="Times New Roman" w:hAnsi="Times New Roman" w:cs="Times New Roman"/>
          <w:i/>
          <w:sz w:val="24"/>
          <w:szCs w:val="24"/>
        </w:rPr>
        <w:t>ах</w:t>
      </w:r>
      <w:proofErr w:type="spellEnd"/>
      <w:r w:rsidR="00E01CFC" w:rsidRPr="00A53362">
        <w:rPr>
          <w:rFonts w:ascii="Times New Roman" w:hAnsi="Times New Roman" w:cs="Times New Roman"/>
          <w:i/>
          <w:sz w:val="24"/>
          <w:szCs w:val="24"/>
        </w:rPr>
        <w:t xml:space="preserve"> данных РПКИ</w:t>
      </w:r>
      <w:r w:rsidR="00A36A13" w:rsidRPr="00A53362">
        <w:rPr>
          <w:rFonts w:ascii="Times New Roman" w:hAnsi="Times New Roman" w:cs="Times New Roman"/>
          <w:i/>
          <w:sz w:val="24"/>
          <w:szCs w:val="24"/>
        </w:rPr>
        <w:t>, а также по результ</w:t>
      </w:r>
      <w:r w:rsidR="00A36A13" w:rsidRPr="00A53362">
        <w:rPr>
          <w:rFonts w:ascii="Times New Roman" w:hAnsi="Times New Roman" w:cs="Times New Roman"/>
          <w:i/>
          <w:sz w:val="24"/>
          <w:szCs w:val="24"/>
        </w:rPr>
        <w:t>а</w:t>
      </w:r>
      <w:r w:rsidR="00A36A13" w:rsidRPr="00A53362">
        <w:rPr>
          <w:rFonts w:ascii="Times New Roman" w:hAnsi="Times New Roman" w:cs="Times New Roman"/>
          <w:i/>
          <w:sz w:val="24"/>
          <w:szCs w:val="24"/>
        </w:rPr>
        <w:t xml:space="preserve">там многолетних популяционных исследований. </w:t>
      </w:r>
      <w:r w:rsidR="00E01CFC" w:rsidRPr="00A53362">
        <w:rPr>
          <w:rFonts w:ascii="Times New Roman" w:hAnsi="Times New Roman" w:cs="Times New Roman"/>
          <w:i/>
          <w:sz w:val="24"/>
          <w:szCs w:val="24"/>
        </w:rPr>
        <w:t xml:space="preserve">Наиболее безопасным в плане развития </w:t>
      </w:r>
      <w:r w:rsidR="00272329" w:rsidRPr="00A53362">
        <w:rPr>
          <w:rFonts w:ascii="Times New Roman" w:hAnsi="Times New Roman" w:cs="Times New Roman"/>
          <w:i/>
          <w:sz w:val="24"/>
          <w:szCs w:val="24"/>
        </w:rPr>
        <w:t>л</w:t>
      </w:r>
      <w:r w:rsidR="00272329" w:rsidRPr="00A53362">
        <w:rPr>
          <w:rFonts w:ascii="Times New Roman" w:hAnsi="Times New Roman" w:cs="Times New Roman"/>
          <w:i/>
          <w:sz w:val="24"/>
          <w:szCs w:val="24"/>
        </w:rPr>
        <w:t>ю</w:t>
      </w:r>
      <w:r w:rsidR="00272329" w:rsidRPr="00A53362">
        <w:rPr>
          <w:rFonts w:ascii="Times New Roman" w:hAnsi="Times New Roman" w:cs="Times New Roman"/>
          <w:i/>
          <w:sz w:val="24"/>
          <w:szCs w:val="24"/>
        </w:rPr>
        <w:t xml:space="preserve">бой </w:t>
      </w:r>
      <w:r w:rsidR="00E01CFC" w:rsidRPr="00A53362">
        <w:rPr>
          <w:rFonts w:ascii="Times New Roman" w:hAnsi="Times New Roman" w:cs="Times New Roman"/>
          <w:i/>
          <w:sz w:val="24"/>
          <w:szCs w:val="24"/>
        </w:rPr>
        <w:t>патологии верхних (желудок, ДПК) и нижележащих отделов ЖКТ (тонкая кишка) явл</w:t>
      </w:r>
      <w:r w:rsidR="00E01CFC" w:rsidRPr="00A53362">
        <w:rPr>
          <w:rFonts w:ascii="Times New Roman" w:hAnsi="Times New Roman" w:cs="Times New Roman"/>
          <w:i/>
          <w:sz w:val="24"/>
          <w:szCs w:val="24"/>
        </w:rPr>
        <w:t>я</w:t>
      </w:r>
      <w:r w:rsidR="00E01CFC" w:rsidRPr="00A53362">
        <w:rPr>
          <w:rFonts w:ascii="Times New Roman" w:hAnsi="Times New Roman" w:cs="Times New Roman"/>
          <w:i/>
          <w:sz w:val="24"/>
          <w:szCs w:val="24"/>
        </w:rPr>
        <w:t xml:space="preserve">ется </w:t>
      </w:r>
      <w:proofErr w:type="spellStart"/>
      <w:r w:rsidR="00E01CFC" w:rsidRPr="00A53362">
        <w:rPr>
          <w:rFonts w:ascii="Times New Roman" w:hAnsi="Times New Roman" w:cs="Times New Roman"/>
          <w:i/>
          <w:sz w:val="24"/>
          <w:szCs w:val="24"/>
        </w:rPr>
        <w:t>целекоксиб</w:t>
      </w:r>
      <w:proofErr w:type="spellEnd"/>
      <w:r w:rsidR="004308E3" w:rsidRPr="00A53362">
        <w:rPr>
          <w:rFonts w:ascii="Times New Roman" w:hAnsi="Times New Roman" w:cs="Times New Roman"/>
          <w:i/>
          <w:sz w:val="24"/>
          <w:szCs w:val="24"/>
        </w:rPr>
        <w:t>, ЦЕЛ</w:t>
      </w:r>
      <w:r w:rsidR="00E01CFC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4FEB" w:rsidRPr="00A53362">
        <w:rPr>
          <w:rFonts w:ascii="Times New Roman" w:hAnsi="Times New Roman" w:cs="Times New Roman"/>
          <w:i/>
          <w:sz w:val="24"/>
          <w:szCs w:val="24"/>
        </w:rPr>
        <w:t>(</w:t>
      </w:r>
      <w:r w:rsidR="00314FEB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доказательности А</w:t>
      </w:r>
      <w:r w:rsidR="00314FEB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2D49EB" w:rsidRPr="00A53362">
        <w:rPr>
          <w:rFonts w:ascii="Times New Roman" w:hAnsi="Times New Roman" w:cs="Times New Roman"/>
          <w:sz w:val="24"/>
          <w:szCs w:val="24"/>
        </w:rPr>
        <w:t xml:space="preserve"> [37-</w:t>
      </w:r>
      <w:r w:rsidR="00C226F3" w:rsidRPr="00A53362">
        <w:rPr>
          <w:rFonts w:ascii="Times New Roman" w:hAnsi="Times New Roman" w:cs="Times New Roman"/>
          <w:sz w:val="24"/>
          <w:szCs w:val="24"/>
        </w:rPr>
        <w:t>40</w:t>
      </w:r>
      <w:r w:rsidR="002D49EB" w:rsidRPr="00A53362">
        <w:rPr>
          <w:rFonts w:ascii="Times New Roman" w:hAnsi="Times New Roman" w:cs="Times New Roman"/>
          <w:sz w:val="24"/>
          <w:szCs w:val="24"/>
        </w:rPr>
        <w:t>]</w:t>
      </w:r>
      <w:r w:rsidR="00314FEB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028A7" w:rsidRPr="00A53362">
        <w:rPr>
          <w:rFonts w:ascii="Times New Roman" w:hAnsi="Times New Roman" w:cs="Times New Roman"/>
          <w:i/>
          <w:sz w:val="24"/>
          <w:szCs w:val="24"/>
        </w:rPr>
        <w:t>Эторикоксиб</w:t>
      </w:r>
      <w:proofErr w:type="spellEnd"/>
      <w:r w:rsidR="00C028A7" w:rsidRPr="00A53362">
        <w:rPr>
          <w:rFonts w:ascii="Times New Roman" w:hAnsi="Times New Roman" w:cs="Times New Roman"/>
          <w:i/>
          <w:sz w:val="24"/>
          <w:szCs w:val="24"/>
        </w:rPr>
        <w:t xml:space="preserve">, по сравнению с н-НПВП, </w:t>
      </w:r>
      <w:r w:rsidR="00272329" w:rsidRPr="00A53362">
        <w:rPr>
          <w:rFonts w:ascii="Times New Roman" w:hAnsi="Times New Roman" w:cs="Times New Roman"/>
          <w:i/>
          <w:sz w:val="24"/>
          <w:szCs w:val="24"/>
        </w:rPr>
        <w:t xml:space="preserve">при кратковременном приеме </w:t>
      </w:r>
      <w:r w:rsidR="00C028A7" w:rsidRPr="00A53362">
        <w:rPr>
          <w:rFonts w:ascii="Times New Roman" w:hAnsi="Times New Roman" w:cs="Times New Roman"/>
          <w:i/>
          <w:sz w:val="24"/>
          <w:szCs w:val="24"/>
        </w:rPr>
        <w:t>более безопасен</w:t>
      </w:r>
      <w:r w:rsidR="00272329" w:rsidRPr="00A53362">
        <w:rPr>
          <w:rFonts w:ascii="Times New Roman" w:hAnsi="Times New Roman" w:cs="Times New Roman"/>
          <w:i/>
          <w:sz w:val="24"/>
          <w:szCs w:val="24"/>
        </w:rPr>
        <w:t xml:space="preserve"> в отношении </w:t>
      </w:r>
      <w:r w:rsidR="00C028A7" w:rsidRPr="00A53362">
        <w:rPr>
          <w:rFonts w:ascii="Times New Roman" w:hAnsi="Times New Roman" w:cs="Times New Roman"/>
          <w:i/>
          <w:sz w:val="24"/>
          <w:szCs w:val="24"/>
        </w:rPr>
        <w:t>разв</w:t>
      </w:r>
      <w:r w:rsidR="00C028A7" w:rsidRPr="00A53362">
        <w:rPr>
          <w:rFonts w:ascii="Times New Roman" w:hAnsi="Times New Roman" w:cs="Times New Roman"/>
          <w:i/>
          <w:sz w:val="24"/>
          <w:szCs w:val="24"/>
        </w:rPr>
        <w:t>и</w:t>
      </w:r>
      <w:r w:rsidR="00C028A7" w:rsidRPr="00A53362">
        <w:rPr>
          <w:rFonts w:ascii="Times New Roman" w:hAnsi="Times New Roman" w:cs="Times New Roman"/>
          <w:i/>
          <w:sz w:val="24"/>
          <w:szCs w:val="24"/>
        </w:rPr>
        <w:t xml:space="preserve">тия патологии </w:t>
      </w:r>
      <w:r w:rsidR="00272329" w:rsidRPr="00A53362">
        <w:rPr>
          <w:rFonts w:ascii="Times New Roman" w:hAnsi="Times New Roman" w:cs="Times New Roman"/>
          <w:i/>
          <w:sz w:val="24"/>
          <w:szCs w:val="24"/>
        </w:rPr>
        <w:t>верхних отделов ЖКТ (</w:t>
      </w:r>
      <w:r w:rsidR="00272329" w:rsidRPr="00A53362">
        <w:rPr>
          <w:rFonts w:ascii="Times New Roman" w:hAnsi="Times New Roman" w:cs="Times New Roman"/>
          <w:b/>
          <w:i/>
          <w:sz w:val="24"/>
          <w:szCs w:val="24"/>
        </w:rPr>
        <w:t xml:space="preserve">уровень доказательности </w:t>
      </w:r>
      <w:r w:rsidR="004F30AE" w:rsidRPr="00A5336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272329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C226F3" w:rsidRPr="00A53362">
        <w:rPr>
          <w:rFonts w:ascii="Times New Roman" w:hAnsi="Times New Roman" w:cs="Times New Roman"/>
          <w:sz w:val="24"/>
          <w:szCs w:val="24"/>
        </w:rPr>
        <w:t xml:space="preserve"> [41</w:t>
      </w:r>
      <w:r w:rsidR="00927BE9" w:rsidRPr="00A53362">
        <w:rPr>
          <w:rFonts w:ascii="Times New Roman" w:hAnsi="Times New Roman" w:cs="Times New Roman"/>
          <w:sz w:val="24"/>
          <w:szCs w:val="24"/>
        </w:rPr>
        <w:t>,</w:t>
      </w:r>
      <w:r w:rsidR="00C226F3" w:rsidRPr="00A53362">
        <w:rPr>
          <w:rFonts w:ascii="Times New Roman" w:hAnsi="Times New Roman" w:cs="Times New Roman"/>
          <w:sz w:val="24"/>
          <w:szCs w:val="24"/>
        </w:rPr>
        <w:t>4</w:t>
      </w:r>
      <w:r w:rsidR="00927BE9" w:rsidRPr="00A53362">
        <w:rPr>
          <w:rFonts w:ascii="Times New Roman" w:hAnsi="Times New Roman" w:cs="Times New Roman"/>
          <w:sz w:val="24"/>
          <w:szCs w:val="24"/>
        </w:rPr>
        <w:t>2</w:t>
      </w:r>
      <w:r w:rsidR="00C226F3" w:rsidRPr="00A53362">
        <w:rPr>
          <w:rFonts w:ascii="Times New Roman" w:hAnsi="Times New Roman" w:cs="Times New Roman"/>
          <w:sz w:val="24"/>
          <w:szCs w:val="24"/>
        </w:rPr>
        <w:t>]</w:t>
      </w:r>
      <w:r w:rsidR="00272329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63B22" w:rsidRPr="00A53362">
        <w:rPr>
          <w:rFonts w:ascii="Times New Roman" w:hAnsi="Times New Roman" w:cs="Times New Roman"/>
          <w:i/>
          <w:sz w:val="24"/>
          <w:szCs w:val="24"/>
        </w:rPr>
        <w:t xml:space="preserve">Среди н-НПВП наименьший риск ЖКТ-кровотечений и диспепсии показан для </w:t>
      </w:r>
      <w:proofErr w:type="spellStart"/>
      <w:r w:rsidR="00363B22" w:rsidRPr="00A53362">
        <w:rPr>
          <w:rFonts w:ascii="Times New Roman" w:hAnsi="Times New Roman" w:cs="Times New Roman"/>
          <w:i/>
          <w:sz w:val="24"/>
          <w:szCs w:val="24"/>
        </w:rPr>
        <w:t>ацеклофенака</w:t>
      </w:r>
      <w:proofErr w:type="spellEnd"/>
      <w:r w:rsidR="00363B22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3B22" w:rsidRPr="00A53362">
        <w:rPr>
          <w:rFonts w:ascii="Times New Roman" w:hAnsi="Times New Roman" w:cs="Times New Roman"/>
          <w:sz w:val="24"/>
          <w:szCs w:val="24"/>
        </w:rPr>
        <w:t>(</w:t>
      </w:r>
      <w:r w:rsidR="00363B22" w:rsidRPr="00A53362">
        <w:rPr>
          <w:rFonts w:ascii="Times New Roman" w:hAnsi="Times New Roman" w:cs="Times New Roman"/>
          <w:b/>
          <w:sz w:val="24"/>
          <w:szCs w:val="24"/>
        </w:rPr>
        <w:t>уровень д</w:t>
      </w:r>
      <w:r w:rsidR="00363B22" w:rsidRPr="00A53362">
        <w:rPr>
          <w:rFonts w:ascii="Times New Roman" w:hAnsi="Times New Roman" w:cs="Times New Roman"/>
          <w:b/>
          <w:sz w:val="24"/>
          <w:szCs w:val="24"/>
        </w:rPr>
        <w:t>о</w:t>
      </w:r>
      <w:r w:rsidR="00363B22" w:rsidRPr="00A53362">
        <w:rPr>
          <w:rFonts w:ascii="Times New Roman" w:hAnsi="Times New Roman" w:cs="Times New Roman"/>
          <w:b/>
          <w:sz w:val="24"/>
          <w:szCs w:val="24"/>
        </w:rPr>
        <w:t>казательности А</w:t>
      </w:r>
      <w:r w:rsidR="00363B22" w:rsidRPr="00A53362">
        <w:rPr>
          <w:rFonts w:ascii="Times New Roman" w:hAnsi="Times New Roman" w:cs="Times New Roman"/>
          <w:sz w:val="24"/>
          <w:szCs w:val="24"/>
        </w:rPr>
        <w:t>)</w:t>
      </w:r>
      <w:r w:rsidR="00C226F3" w:rsidRPr="00A53362">
        <w:rPr>
          <w:rFonts w:ascii="Times New Roman" w:hAnsi="Times New Roman" w:cs="Times New Roman"/>
          <w:sz w:val="24"/>
          <w:szCs w:val="24"/>
        </w:rPr>
        <w:t xml:space="preserve"> [40]</w:t>
      </w:r>
      <w:r w:rsidR="00363B22" w:rsidRPr="00A53362">
        <w:rPr>
          <w:rFonts w:ascii="Times New Roman" w:hAnsi="Times New Roman" w:cs="Times New Roman"/>
          <w:sz w:val="24"/>
          <w:szCs w:val="24"/>
        </w:rPr>
        <w:t xml:space="preserve">. </w:t>
      </w:r>
      <w:r w:rsidR="0073133A" w:rsidRPr="00A53362">
        <w:rPr>
          <w:rFonts w:ascii="Times New Roman" w:hAnsi="Times New Roman" w:cs="Times New Roman"/>
          <w:i/>
          <w:sz w:val="24"/>
          <w:szCs w:val="24"/>
        </w:rPr>
        <w:t xml:space="preserve">Наиболее безопасным НПВП в </w:t>
      </w:r>
      <w:r w:rsidR="00363B22" w:rsidRPr="00A53362">
        <w:rPr>
          <w:rFonts w:ascii="Times New Roman" w:hAnsi="Times New Roman" w:cs="Times New Roman"/>
          <w:i/>
          <w:sz w:val="24"/>
          <w:szCs w:val="24"/>
        </w:rPr>
        <w:t xml:space="preserve">отношении </w:t>
      </w:r>
      <w:r w:rsidR="00336BD3" w:rsidRPr="00A53362">
        <w:rPr>
          <w:rFonts w:ascii="Times New Roman" w:hAnsi="Times New Roman" w:cs="Times New Roman"/>
          <w:i/>
          <w:sz w:val="24"/>
          <w:szCs w:val="24"/>
        </w:rPr>
        <w:t>р</w:t>
      </w:r>
      <w:r w:rsidR="0073133A" w:rsidRPr="00A53362">
        <w:rPr>
          <w:rFonts w:ascii="Times New Roman" w:hAnsi="Times New Roman" w:cs="Times New Roman"/>
          <w:i/>
          <w:sz w:val="24"/>
          <w:szCs w:val="24"/>
        </w:rPr>
        <w:t xml:space="preserve">иска кардиоваскулярных катастроф </w:t>
      </w:r>
      <w:r w:rsidR="00E01CFC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297C" w:rsidRPr="00A53362">
        <w:rPr>
          <w:rFonts w:ascii="Times New Roman" w:hAnsi="Times New Roman" w:cs="Times New Roman"/>
          <w:i/>
          <w:sz w:val="24"/>
          <w:szCs w:val="24"/>
        </w:rPr>
        <w:t xml:space="preserve">является </w:t>
      </w:r>
      <w:proofErr w:type="spellStart"/>
      <w:r w:rsidR="0016297C" w:rsidRPr="00A53362">
        <w:rPr>
          <w:rFonts w:ascii="Times New Roman" w:hAnsi="Times New Roman" w:cs="Times New Roman"/>
          <w:i/>
          <w:sz w:val="24"/>
          <w:szCs w:val="24"/>
        </w:rPr>
        <w:t>напроксен</w:t>
      </w:r>
      <w:proofErr w:type="spellEnd"/>
      <w:r w:rsidR="004308E3" w:rsidRPr="00A53362">
        <w:rPr>
          <w:rFonts w:ascii="Times New Roman" w:hAnsi="Times New Roman" w:cs="Times New Roman"/>
          <w:i/>
          <w:sz w:val="24"/>
          <w:szCs w:val="24"/>
        </w:rPr>
        <w:t>, НАП</w:t>
      </w:r>
      <w:r w:rsidR="0016297C" w:rsidRPr="00A5336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6297C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доказательности А</w:t>
      </w:r>
      <w:r w:rsidR="0016297C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3F081E" w:rsidRPr="00A53362">
        <w:rPr>
          <w:rFonts w:ascii="Times New Roman" w:hAnsi="Times New Roman" w:cs="Times New Roman"/>
          <w:sz w:val="24"/>
          <w:szCs w:val="24"/>
        </w:rPr>
        <w:t xml:space="preserve"> [43</w:t>
      </w:r>
      <w:r w:rsidR="003161F2" w:rsidRPr="00A53362">
        <w:rPr>
          <w:rFonts w:ascii="Times New Roman" w:hAnsi="Times New Roman" w:cs="Times New Roman"/>
          <w:sz w:val="24"/>
          <w:szCs w:val="24"/>
        </w:rPr>
        <w:t>-46</w:t>
      </w:r>
      <w:r w:rsidR="003F081E" w:rsidRPr="00A53362">
        <w:rPr>
          <w:rFonts w:ascii="Times New Roman" w:hAnsi="Times New Roman" w:cs="Times New Roman"/>
          <w:sz w:val="24"/>
          <w:szCs w:val="24"/>
        </w:rPr>
        <w:t>]</w:t>
      </w:r>
      <w:r w:rsidR="0016297C" w:rsidRPr="00A53362">
        <w:rPr>
          <w:rFonts w:ascii="Times New Roman" w:hAnsi="Times New Roman" w:cs="Times New Roman"/>
          <w:i/>
          <w:sz w:val="24"/>
          <w:szCs w:val="24"/>
        </w:rPr>
        <w:t>. Меньший риск осложнений со стороны ССС показан для</w:t>
      </w:r>
      <w:r w:rsidR="008B4FCC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3B22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B4FCC" w:rsidRPr="00A53362">
        <w:rPr>
          <w:rFonts w:ascii="Times New Roman" w:hAnsi="Times New Roman" w:cs="Times New Roman"/>
          <w:i/>
          <w:sz w:val="24"/>
          <w:szCs w:val="24"/>
        </w:rPr>
        <w:t>кетопрофена</w:t>
      </w:r>
      <w:proofErr w:type="spellEnd"/>
      <w:r w:rsidR="008B4FCC" w:rsidRPr="00A53362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16297C" w:rsidRPr="00A53362">
        <w:rPr>
          <w:rFonts w:ascii="Times New Roman" w:hAnsi="Times New Roman" w:cs="Times New Roman"/>
          <w:i/>
          <w:sz w:val="24"/>
          <w:szCs w:val="24"/>
        </w:rPr>
        <w:t xml:space="preserve"> низких доз ибупрофена (</w:t>
      </w:r>
      <w:r w:rsidR="0016297C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</w:t>
      </w:r>
      <w:r w:rsidR="0016297C" w:rsidRPr="00A53362">
        <w:rPr>
          <w:rFonts w:ascii="Times New Roman" w:hAnsi="Times New Roman" w:cs="Times New Roman"/>
          <w:b/>
          <w:i/>
          <w:sz w:val="24"/>
          <w:szCs w:val="24"/>
        </w:rPr>
        <w:t>ь</w:t>
      </w:r>
      <w:r w:rsidR="0016297C" w:rsidRPr="00A53362">
        <w:rPr>
          <w:rFonts w:ascii="Times New Roman" w:hAnsi="Times New Roman" w:cs="Times New Roman"/>
          <w:b/>
          <w:i/>
          <w:sz w:val="24"/>
          <w:szCs w:val="24"/>
        </w:rPr>
        <w:t>ности В</w:t>
      </w:r>
      <w:r w:rsidR="0016297C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3E5E3D" w:rsidRPr="00A53362">
        <w:rPr>
          <w:rFonts w:ascii="Times New Roman" w:hAnsi="Times New Roman" w:cs="Times New Roman"/>
          <w:i/>
          <w:sz w:val="24"/>
          <w:szCs w:val="24"/>
        </w:rPr>
        <w:t>, с</w:t>
      </w:r>
      <w:r w:rsidR="0016297C" w:rsidRPr="00A53362">
        <w:rPr>
          <w:rFonts w:ascii="Times New Roman" w:hAnsi="Times New Roman" w:cs="Times New Roman"/>
          <w:i/>
          <w:sz w:val="24"/>
          <w:szCs w:val="24"/>
        </w:rPr>
        <w:t xml:space="preserve">реди с-НПВП </w:t>
      </w:r>
      <w:r w:rsidR="003E5E3D" w:rsidRPr="00A5336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6297C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6297C" w:rsidRPr="00A53362">
        <w:rPr>
          <w:rFonts w:ascii="Times New Roman" w:hAnsi="Times New Roman" w:cs="Times New Roman"/>
          <w:i/>
          <w:sz w:val="24"/>
          <w:szCs w:val="24"/>
        </w:rPr>
        <w:t>для</w:t>
      </w:r>
      <w:proofErr w:type="gramEnd"/>
      <w:r w:rsidR="003E5E3D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308E3" w:rsidRPr="00A53362">
        <w:rPr>
          <w:rFonts w:ascii="Times New Roman" w:hAnsi="Times New Roman" w:cs="Times New Roman"/>
          <w:i/>
          <w:sz w:val="24"/>
          <w:szCs w:val="24"/>
        </w:rPr>
        <w:t>ЦЕЛ</w:t>
      </w:r>
      <w:proofErr w:type="gramEnd"/>
      <w:r w:rsidR="0016297C" w:rsidRPr="00A5336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6297C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доказательности А</w:t>
      </w:r>
      <w:r w:rsidR="0016297C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3161F2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61F2" w:rsidRPr="00A53362">
        <w:rPr>
          <w:rFonts w:ascii="Times New Roman" w:hAnsi="Times New Roman" w:cs="Times New Roman"/>
          <w:sz w:val="24"/>
          <w:szCs w:val="24"/>
        </w:rPr>
        <w:t>[43-4</w:t>
      </w:r>
      <w:r w:rsidR="00E9397E" w:rsidRPr="00A53362">
        <w:rPr>
          <w:rFonts w:ascii="Times New Roman" w:hAnsi="Times New Roman" w:cs="Times New Roman"/>
          <w:sz w:val="24"/>
          <w:szCs w:val="24"/>
        </w:rPr>
        <w:t>9</w:t>
      </w:r>
      <w:r w:rsidR="003161F2" w:rsidRPr="00A53362">
        <w:rPr>
          <w:rFonts w:ascii="Times New Roman" w:hAnsi="Times New Roman" w:cs="Times New Roman"/>
          <w:sz w:val="24"/>
          <w:szCs w:val="24"/>
        </w:rPr>
        <w:t>]</w:t>
      </w:r>
      <w:r w:rsidR="0016297C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36A13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21BF" w:rsidRPr="00A53362">
        <w:rPr>
          <w:rFonts w:ascii="Times New Roman" w:hAnsi="Times New Roman" w:cs="Times New Roman"/>
          <w:i/>
          <w:sz w:val="24"/>
          <w:szCs w:val="24"/>
        </w:rPr>
        <w:t xml:space="preserve">Экспертами </w:t>
      </w:r>
      <w:r w:rsidR="005821BF" w:rsidRPr="00A53362">
        <w:rPr>
          <w:rFonts w:ascii="Times New Roman" w:hAnsi="Times New Roman" w:cs="Times New Roman"/>
          <w:i/>
          <w:sz w:val="24"/>
          <w:szCs w:val="24"/>
          <w:lang w:val="en-US"/>
        </w:rPr>
        <w:t>EULAR</w:t>
      </w:r>
      <w:r w:rsidR="005821BF" w:rsidRPr="00A53362">
        <w:rPr>
          <w:rFonts w:ascii="Times New Roman" w:hAnsi="Times New Roman" w:cs="Times New Roman"/>
          <w:i/>
          <w:sz w:val="24"/>
          <w:szCs w:val="24"/>
        </w:rPr>
        <w:t xml:space="preserve"> разработан «калькулятор» для индивидуального подбора НПВП в зависимости от наличия ЖКТ и ССС факторов риска</w:t>
      </w:r>
      <w:r w:rsidR="00565B4F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B4F" w:rsidRPr="00A53362">
        <w:rPr>
          <w:rFonts w:ascii="Times New Roman" w:hAnsi="Times New Roman" w:cs="Times New Roman"/>
          <w:sz w:val="24"/>
          <w:szCs w:val="24"/>
        </w:rPr>
        <w:t>[</w:t>
      </w:r>
      <w:r w:rsidR="0069553A" w:rsidRPr="00A53362">
        <w:rPr>
          <w:rFonts w:ascii="Times New Roman" w:hAnsi="Times New Roman" w:cs="Times New Roman"/>
          <w:sz w:val="24"/>
          <w:szCs w:val="24"/>
        </w:rPr>
        <w:t>14</w:t>
      </w:r>
      <w:r w:rsidR="00565B4F" w:rsidRPr="00A53362">
        <w:rPr>
          <w:rFonts w:ascii="Times New Roman" w:hAnsi="Times New Roman" w:cs="Times New Roman"/>
          <w:sz w:val="24"/>
          <w:szCs w:val="24"/>
        </w:rPr>
        <w:t>]</w:t>
      </w:r>
      <w:r w:rsidR="005821BF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57E77" w:rsidRPr="00A53362" w:rsidRDefault="00357E77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Поддержано рекомендациями 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EULAR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>, АРР</w:t>
      </w:r>
      <w:r w:rsidRPr="00A533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5B4F" w:rsidRPr="00A53362">
        <w:rPr>
          <w:rFonts w:ascii="Times New Roman" w:hAnsi="Times New Roman" w:cs="Times New Roman"/>
          <w:sz w:val="24"/>
          <w:szCs w:val="24"/>
        </w:rPr>
        <w:t>[1,</w:t>
      </w:r>
      <w:r w:rsidR="0069553A" w:rsidRPr="00A53362">
        <w:rPr>
          <w:rFonts w:ascii="Times New Roman" w:hAnsi="Times New Roman" w:cs="Times New Roman"/>
          <w:sz w:val="24"/>
          <w:szCs w:val="24"/>
        </w:rPr>
        <w:t>14</w:t>
      </w:r>
      <w:r w:rsidR="00565B4F" w:rsidRPr="00A53362">
        <w:rPr>
          <w:rFonts w:ascii="Times New Roman" w:hAnsi="Times New Roman" w:cs="Times New Roman"/>
          <w:sz w:val="24"/>
          <w:szCs w:val="24"/>
        </w:rPr>
        <w:t>]</w:t>
      </w:r>
    </w:p>
    <w:p w:rsidR="00686DBC" w:rsidRPr="00A53362" w:rsidRDefault="00686DBC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 xml:space="preserve">6. При наличии риска ЖКТ - осложнений </w:t>
      </w:r>
      <w:r w:rsidR="00F65093" w:rsidRPr="00A53362">
        <w:rPr>
          <w:rFonts w:ascii="Times New Roman" w:hAnsi="Times New Roman" w:cs="Times New Roman"/>
          <w:sz w:val="24"/>
          <w:szCs w:val="24"/>
        </w:rPr>
        <w:t xml:space="preserve">следует использовать </w:t>
      </w:r>
      <w:r w:rsidRPr="00A53362">
        <w:rPr>
          <w:rFonts w:ascii="Times New Roman" w:hAnsi="Times New Roman" w:cs="Times New Roman"/>
          <w:sz w:val="24"/>
          <w:szCs w:val="24"/>
        </w:rPr>
        <w:t>с-НПВП (</w:t>
      </w:r>
      <w:r w:rsidRPr="00A53362">
        <w:rPr>
          <w:rFonts w:ascii="Times New Roman" w:hAnsi="Times New Roman" w:cs="Times New Roman"/>
          <w:b/>
          <w:sz w:val="24"/>
          <w:szCs w:val="24"/>
        </w:rPr>
        <w:t>уровень доказ</w:t>
      </w:r>
      <w:r w:rsidRPr="00A53362">
        <w:rPr>
          <w:rFonts w:ascii="Times New Roman" w:hAnsi="Times New Roman" w:cs="Times New Roman"/>
          <w:b/>
          <w:sz w:val="24"/>
          <w:szCs w:val="24"/>
        </w:rPr>
        <w:t>а</w:t>
      </w:r>
      <w:r w:rsidRPr="00A53362">
        <w:rPr>
          <w:rFonts w:ascii="Times New Roman" w:hAnsi="Times New Roman" w:cs="Times New Roman"/>
          <w:b/>
          <w:sz w:val="24"/>
          <w:szCs w:val="24"/>
        </w:rPr>
        <w:t>тельности А</w:t>
      </w:r>
      <w:r w:rsidRPr="00A53362">
        <w:rPr>
          <w:rFonts w:ascii="Times New Roman" w:hAnsi="Times New Roman" w:cs="Times New Roman"/>
          <w:sz w:val="24"/>
          <w:szCs w:val="24"/>
        </w:rPr>
        <w:t xml:space="preserve">) или </w:t>
      </w:r>
      <w:r w:rsidR="00F65093" w:rsidRPr="00A53362">
        <w:rPr>
          <w:rFonts w:ascii="Times New Roman" w:hAnsi="Times New Roman" w:cs="Times New Roman"/>
          <w:sz w:val="24"/>
          <w:szCs w:val="24"/>
        </w:rPr>
        <w:t>н</w:t>
      </w:r>
      <w:r w:rsidRPr="00A53362">
        <w:rPr>
          <w:rFonts w:ascii="Times New Roman" w:hAnsi="Times New Roman" w:cs="Times New Roman"/>
          <w:sz w:val="24"/>
          <w:szCs w:val="24"/>
        </w:rPr>
        <w:t>-НПВП в комбинации с ингибиторами протонной помпы (ИПП) (</w:t>
      </w:r>
      <w:r w:rsidRPr="00A53362">
        <w:rPr>
          <w:rFonts w:ascii="Times New Roman" w:hAnsi="Times New Roman" w:cs="Times New Roman"/>
          <w:b/>
          <w:sz w:val="24"/>
          <w:szCs w:val="24"/>
        </w:rPr>
        <w:t>ур</w:t>
      </w:r>
      <w:r w:rsidRPr="00A53362">
        <w:rPr>
          <w:rFonts w:ascii="Times New Roman" w:hAnsi="Times New Roman" w:cs="Times New Roman"/>
          <w:b/>
          <w:sz w:val="24"/>
          <w:szCs w:val="24"/>
        </w:rPr>
        <w:t>о</w:t>
      </w:r>
      <w:r w:rsidRPr="00A53362">
        <w:rPr>
          <w:rFonts w:ascii="Times New Roman" w:hAnsi="Times New Roman" w:cs="Times New Roman"/>
          <w:b/>
          <w:sz w:val="24"/>
          <w:szCs w:val="24"/>
        </w:rPr>
        <w:t>вень доказательности А</w:t>
      </w:r>
      <w:r w:rsidRPr="00A53362">
        <w:rPr>
          <w:rFonts w:ascii="Times New Roman" w:hAnsi="Times New Roman" w:cs="Times New Roman"/>
          <w:sz w:val="24"/>
          <w:szCs w:val="24"/>
        </w:rPr>
        <w:t xml:space="preserve">). При высоком </w:t>
      </w:r>
      <w:r w:rsidR="00817EA5" w:rsidRPr="00A53362">
        <w:rPr>
          <w:rFonts w:ascii="Times New Roman" w:hAnsi="Times New Roman" w:cs="Times New Roman"/>
          <w:sz w:val="24"/>
          <w:szCs w:val="24"/>
        </w:rPr>
        <w:t xml:space="preserve">и максимальном </w:t>
      </w:r>
      <w:r w:rsidRPr="00A53362">
        <w:rPr>
          <w:rFonts w:ascii="Times New Roman" w:hAnsi="Times New Roman" w:cs="Times New Roman"/>
          <w:sz w:val="24"/>
          <w:szCs w:val="24"/>
        </w:rPr>
        <w:t>риске ЖКТ осложнений показано назначение с-НПВП в комбинации с ИПП</w:t>
      </w:r>
      <w:r w:rsidR="00052582" w:rsidRPr="00A53362">
        <w:rPr>
          <w:rFonts w:ascii="Times New Roman" w:hAnsi="Times New Roman" w:cs="Times New Roman"/>
          <w:sz w:val="24"/>
          <w:szCs w:val="24"/>
        </w:rPr>
        <w:t xml:space="preserve"> (</w:t>
      </w:r>
      <w:r w:rsidR="00052582" w:rsidRPr="00A53362">
        <w:rPr>
          <w:rFonts w:ascii="Times New Roman" w:hAnsi="Times New Roman" w:cs="Times New Roman"/>
          <w:b/>
          <w:sz w:val="24"/>
          <w:szCs w:val="24"/>
        </w:rPr>
        <w:t>уровень доказательности А</w:t>
      </w:r>
      <w:r w:rsidR="00052582" w:rsidRPr="00A53362">
        <w:rPr>
          <w:rFonts w:ascii="Times New Roman" w:hAnsi="Times New Roman" w:cs="Times New Roman"/>
          <w:sz w:val="24"/>
          <w:szCs w:val="24"/>
        </w:rPr>
        <w:t>)</w:t>
      </w:r>
      <w:r w:rsidRPr="00A533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D44" w:rsidRPr="00A53362" w:rsidRDefault="00D43D44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>Комментарий.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625D" w:rsidRPr="00A53362">
        <w:rPr>
          <w:rFonts w:ascii="Times New Roman" w:hAnsi="Times New Roman" w:cs="Times New Roman"/>
          <w:i/>
          <w:sz w:val="24"/>
          <w:szCs w:val="24"/>
        </w:rPr>
        <w:t>Применение ИПП снижает риск диспепсии, развития язв желудка и ДПК, а также ЖКТ – кровотечения (</w:t>
      </w:r>
      <w:r w:rsidR="00FD625D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доказательности А</w:t>
      </w:r>
      <w:r w:rsidR="00FD625D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652F27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2F27" w:rsidRPr="00A53362">
        <w:rPr>
          <w:rFonts w:ascii="Times New Roman" w:hAnsi="Times New Roman" w:cs="Times New Roman"/>
          <w:sz w:val="24"/>
          <w:szCs w:val="24"/>
        </w:rPr>
        <w:t>[1</w:t>
      </w:r>
      <w:r w:rsidR="00AF267C" w:rsidRPr="00A53362">
        <w:rPr>
          <w:rFonts w:ascii="Times New Roman" w:hAnsi="Times New Roman" w:cs="Times New Roman"/>
          <w:sz w:val="24"/>
          <w:szCs w:val="24"/>
        </w:rPr>
        <w:t>,50-52</w:t>
      </w:r>
      <w:r w:rsidR="00652F27" w:rsidRPr="00A53362">
        <w:rPr>
          <w:rFonts w:ascii="Times New Roman" w:hAnsi="Times New Roman" w:cs="Times New Roman"/>
          <w:sz w:val="24"/>
          <w:szCs w:val="24"/>
        </w:rPr>
        <w:t>]</w:t>
      </w:r>
      <w:r w:rsidR="00FD625D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568C4" w:rsidRPr="00A53362">
        <w:rPr>
          <w:rFonts w:ascii="Times New Roman" w:hAnsi="Times New Roman" w:cs="Times New Roman"/>
          <w:i/>
          <w:sz w:val="24"/>
          <w:szCs w:val="24"/>
        </w:rPr>
        <w:t xml:space="preserve">Комбинированный препарат </w:t>
      </w:r>
      <w:r w:rsidR="004308E3" w:rsidRPr="00A53362">
        <w:rPr>
          <w:rFonts w:ascii="Times New Roman" w:hAnsi="Times New Roman" w:cs="Times New Roman"/>
          <w:i/>
          <w:sz w:val="24"/>
          <w:szCs w:val="24"/>
        </w:rPr>
        <w:t>НАП</w:t>
      </w:r>
      <w:r w:rsidR="00A568C4" w:rsidRPr="00A53362">
        <w:rPr>
          <w:rFonts w:ascii="Times New Roman" w:hAnsi="Times New Roman" w:cs="Times New Roman"/>
          <w:i/>
          <w:sz w:val="24"/>
          <w:szCs w:val="24"/>
        </w:rPr>
        <w:t xml:space="preserve"> + </w:t>
      </w:r>
      <w:proofErr w:type="spellStart"/>
      <w:r w:rsidR="00A568C4" w:rsidRPr="00A53362">
        <w:rPr>
          <w:rFonts w:ascii="Times New Roman" w:hAnsi="Times New Roman" w:cs="Times New Roman"/>
          <w:i/>
          <w:sz w:val="24"/>
          <w:szCs w:val="24"/>
        </w:rPr>
        <w:t>эзомепразол</w:t>
      </w:r>
      <w:proofErr w:type="spellEnd"/>
      <w:r w:rsidR="00A568C4" w:rsidRPr="00A53362">
        <w:rPr>
          <w:rFonts w:ascii="Times New Roman" w:hAnsi="Times New Roman" w:cs="Times New Roman"/>
          <w:i/>
          <w:sz w:val="24"/>
          <w:szCs w:val="24"/>
        </w:rPr>
        <w:t xml:space="preserve"> более безопасен в плане развития диспепсии и язв верхних о</w:t>
      </w:r>
      <w:r w:rsidR="00A568C4" w:rsidRPr="00A53362">
        <w:rPr>
          <w:rFonts w:ascii="Times New Roman" w:hAnsi="Times New Roman" w:cs="Times New Roman"/>
          <w:i/>
          <w:sz w:val="24"/>
          <w:szCs w:val="24"/>
        </w:rPr>
        <w:t>т</w:t>
      </w:r>
      <w:r w:rsidR="00A568C4" w:rsidRPr="00A53362">
        <w:rPr>
          <w:rFonts w:ascii="Times New Roman" w:hAnsi="Times New Roman" w:cs="Times New Roman"/>
          <w:i/>
          <w:sz w:val="24"/>
          <w:szCs w:val="24"/>
        </w:rPr>
        <w:t xml:space="preserve">делов ЖКТ, чем </w:t>
      </w:r>
      <w:r w:rsidR="004308E3" w:rsidRPr="00A53362">
        <w:rPr>
          <w:rFonts w:ascii="Times New Roman" w:hAnsi="Times New Roman" w:cs="Times New Roman"/>
          <w:i/>
          <w:sz w:val="24"/>
          <w:szCs w:val="24"/>
        </w:rPr>
        <w:t>НАП</w:t>
      </w:r>
      <w:r w:rsidR="00A568C4" w:rsidRPr="00A5336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568C4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доказательности А</w:t>
      </w:r>
      <w:r w:rsidR="00A568C4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484B7C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4B7C" w:rsidRPr="00A53362">
        <w:rPr>
          <w:rFonts w:ascii="Times New Roman" w:hAnsi="Times New Roman" w:cs="Times New Roman"/>
          <w:sz w:val="24"/>
          <w:szCs w:val="24"/>
        </w:rPr>
        <w:t>[53]</w:t>
      </w:r>
      <w:r w:rsidR="00A568C4" w:rsidRPr="00A53362">
        <w:rPr>
          <w:rFonts w:ascii="Times New Roman" w:hAnsi="Times New Roman" w:cs="Times New Roman"/>
          <w:i/>
          <w:sz w:val="24"/>
          <w:szCs w:val="24"/>
        </w:rPr>
        <w:t>. Комбинация н-НПВП</w:t>
      </w:r>
      <w:r w:rsidR="002F2E65" w:rsidRPr="00A53362">
        <w:rPr>
          <w:rFonts w:ascii="Times New Roman" w:hAnsi="Times New Roman" w:cs="Times New Roman"/>
          <w:i/>
          <w:sz w:val="24"/>
          <w:szCs w:val="24"/>
        </w:rPr>
        <w:t>+ИПП, в о</w:t>
      </w:r>
      <w:r w:rsidR="002F2E65" w:rsidRPr="00A53362">
        <w:rPr>
          <w:rFonts w:ascii="Times New Roman" w:hAnsi="Times New Roman" w:cs="Times New Roman"/>
          <w:i/>
          <w:sz w:val="24"/>
          <w:szCs w:val="24"/>
        </w:rPr>
        <w:t>т</w:t>
      </w:r>
      <w:r w:rsidR="002F2E65" w:rsidRPr="00A53362">
        <w:rPr>
          <w:rFonts w:ascii="Times New Roman" w:hAnsi="Times New Roman" w:cs="Times New Roman"/>
          <w:i/>
          <w:sz w:val="24"/>
          <w:szCs w:val="24"/>
        </w:rPr>
        <w:t>личие от с-НПВП (</w:t>
      </w:r>
      <w:r w:rsidR="004308E3" w:rsidRPr="00A53362">
        <w:rPr>
          <w:rFonts w:ascii="Times New Roman" w:hAnsi="Times New Roman" w:cs="Times New Roman"/>
          <w:i/>
          <w:sz w:val="24"/>
          <w:szCs w:val="24"/>
        </w:rPr>
        <w:t>ЦЕЛ</w:t>
      </w:r>
      <w:r w:rsidR="002F2E65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4308E3" w:rsidRPr="00A53362">
        <w:rPr>
          <w:rFonts w:ascii="Times New Roman" w:hAnsi="Times New Roman" w:cs="Times New Roman"/>
          <w:i/>
          <w:sz w:val="24"/>
          <w:szCs w:val="24"/>
        </w:rPr>
        <w:t>,</w:t>
      </w:r>
      <w:r w:rsidR="00A568C4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2E65" w:rsidRPr="00A53362">
        <w:rPr>
          <w:rFonts w:ascii="Times New Roman" w:hAnsi="Times New Roman" w:cs="Times New Roman"/>
          <w:i/>
          <w:sz w:val="24"/>
          <w:szCs w:val="24"/>
        </w:rPr>
        <w:t>не снижает риск патологии тонкой кишки и железодефицитной анемии</w:t>
      </w:r>
      <w:r w:rsidR="00423258" w:rsidRPr="00A5336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23258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доказательности А</w:t>
      </w:r>
      <w:r w:rsidR="00423258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6A3513" w:rsidRPr="00A53362">
        <w:rPr>
          <w:rFonts w:ascii="Times New Roman" w:hAnsi="Times New Roman" w:cs="Times New Roman"/>
          <w:sz w:val="24"/>
          <w:szCs w:val="24"/>
        </w:rPr>
        <w:t>[39</w:t>
      </w:r>
      <w:r w:rsidR="00991532" w:rsidRPr="00A53362">
        <w:rPr>
          <w:rFonts w:ascii="Times New Roman" w:hAnsi="Times New Roman" w:cs="Times New Roman"/>
          <w:sz w:val="24"/>
          <w:szCs w:val="24"/>
        </w:rPr>
        <w:t>,54</w:t>
      </w:r>
      <w:r w:rsidR="006A3513" w:rsidRPr="00A53362">
        <w:rPr>
          <w:rFonts w:ascii="Times New Roman" w:hAnsi="Times New Roman" w:cs="Times New Roman"/>
          <w:sz w:val="24"/>
          <w:szCs w:val="24"/>
        </w:rPr>
        <w:t>]</w:t>
      </w:r>
      <w:r w:rsidR="002F2E65" w:rsidRPr="00A53362">
        <w:rPr>
          <w:rFonts w:ascii="Times New Roman" w:hAnsi="Times New Roman" w:cs="Times New Roman"/>
          <w:sz w:val="24"/>
          <w:szCs w:val="24"/>
        </w:rPr>
        <w:t xml:space="preserve">. </w:t>
      </w:r>
      <w:r w:rsidR="00FD625D" w:rsidRPr="00A53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C22" w:rsidRPr="00A53362" w:rsidRDefault="00686DBC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>7. При умеренном ССС –</w:t>
      </w:r>
      <w:r w:rsidR="00FD625D" w:rsidRPr="00A53362">
        <w:rPr>
          <w:rFonts w:ascii="Times New Roman" w:hAnsi="Times New Roman" w:cs="Times New Roman"/>
          <w:sz w:val="24"/>
          <w:szCs w:val="24"/>
        </w:rPr>
        <w:t xml:space="preserve"> </w:t>
      </w:r>
      <w:r w:rsidRPr="00A53362">
        <w:rPr>
          <w:rFonts w:ascii="Times New Roman" w:hAnsi="Times New Roman" w:cs="Times New Roman"/>
          <w:sz w:val="24"/>
          <w:szCs w:val="24"/>
        </w:rPr>
        <w:t xml:space="preserve">риске </w:t>
      </w:r>
      <w:r w:rsidR="00F65093" w:rsidRPr="00A53362">
        <w:rPr>
          <w:rFonts w:ascii="Times New Roman" w:hAnsi="Times New Roman" w:cs="Times New Roman"/>
          <w:sz w:val="24"/>
          <w:szCs w:val="24"/>
        </w:rPr>
        <w:t xml:space="preserve">следует использовать с-НПВП в комбинации с </w:t>
      </w:r>
      <w:r w:rsidR="009F172A" w:rsidRPr="00A53362">
        <w:rPr>
          <w:rFonts w:ascii="Times New Roman" w:hAnsi="Times New Roman" w:cs="Times New Roman"/>
          <w:sz w:val="24"/>
          <w:szCs w:val="24"/>
        </w:rPr>
        <w:t>низкими д</w:t>
      </w:r>
      <w:r w:rsidR="009F172A" w:rsidRPr="00A53362">
        <w:rPr>
          <w:rFonts w:ascii="Times New Roman" w:hAnsi="Times New Roman" w:cs="Times New Roman"/>
          <w:sz w:val="24"/>
          <w:szCs w:val="24"/>
        </w:rPr>
        <w:t>о</w:t>
      </w:r>
      <w:r w:rsidR="009F172A" w:rsidRPr="00A53362">
        <w:rPr>
          <w:rFonts w:ascii="Times New Roman" w:hAnsi="Times New Roman" w:cs="Times New Roman"/>
          <w:sz w:val="24"/>
          <w:szCs w:val="24"/>
        </w:rPr>
        <w:t>зами аспирина (</w:t>
      </w:r>
      <w:r w:rsidR="00F65093" w:rsidRPr="00A53362">
        <w:rPr>
          <w:rFonts w:ascii="Times New Roman" w:hAnsi="Times New Roman" w:cs="Times New Roman"/>
          <w:sz w:val="24"/>
          <w:szCs w:val="24"/>
        </w:rPr>
        <w:t>НДА</w:t>
      </w:r>
      <w:r w:rsidR="009F172A" w:rsidRPr="00A53362">
        <w:rPr>
          <w:rFonts w:ascii="Times New Roman" w:hAnsi="Times New Roman" w:cs="Times New Roman"/>
          <w:sz w:val="24"/>
          <w:szCs w:val="24"/>
        </w:rPr>
        <w:t>) или н-НПВП (</w:t>
      </w:r>
      <w:r w:rsidR="004308E3" w:rsidRPr="00A53362">
        <w:rPr>
          <w:rFonts w:ascii="Times New Roman" w:hAnsi="Times New Roman" w:cs="Times New Roman"/>
          <w:sz w:val="24"/>
          <w:szCs w:val="24"/>
        </w:rPr>
        <w:t>НАП</w:t>
      </w:r>
      <w:r w:rsidR="00F65093" w:rsidRPr="00A53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3B22" w:rsidRPr="00A53362">
        <w:rPr>
          <w:rFonts w:ascii="Times New Roman" w:hAnsi="Times New Roman" w:cs="Times New Roman"/>
          <w:sz w:val="24"/>
          <w:szCs w:val="24"/>
        </w:rPr>
        <w:t>ацеклофенак</w:t>
      </w:r>
      <w:proofErr w:type="spellEnd"/>
      <w:r w:rsidR="00363B22" w:rsidRPr="00A53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5093" w:rsidRPr="00A53362">
        <w:rPr>
          <w:rFonts w:ascii="Times New Roman" w:hAnsi="Times New Roman" w:cs="Times New Roman"/>
          <w:sz w:val="24"/>
          <w:szCs w:val="24"/>
        </w:rPr>
        <w:t>кетопрофен</w:t>
      </w:r>
      <w:proofErr w:type="spellEnd"/>
      <w:r w:rsidR="00363B22" w:rsidRPr="00A53362">
        <w:rPr>
          <w:rFonts w:ascii="Times New Roman" w:hAnsi="Times New Roman" w:cs="Times New Roman"/>
          <w:sz w:val="24"/>
          <w:szCs w:val="24"/>
        </w:rPr>
        <w:t>,</w:t>
      </w:r>
      <w:r w:rsidR="00F65093" w:rsidRPr="00A53362">
        <w:rPr>
          <w:rFonts w:ascii="Times New Roman" w:hAnsi="Times New Roman" w:cs="Times New Roman"/>
          <w:sz w:val="24"/>
          <w:szCs w:val="24"/>
        </w:rPr>
        <w:t xml:space="preserve"> ибупрофен</w:t>
      </w:r>
      <w:r w:rsidR="009F172A" w:rsidRPr="00A53362">
        <w:rPr>
          <w:rFonts w:ascii="Times New Roman" w:hAnsi="Times New Roman" w:cs="Times New Roman"/>
          <w:sz w:val="24"/>
          <w:szCs w:val="24"/>
        </w:rPr>
        <w:t>)</w:t>
      </w:r>
      <w:r w:rsidR="00F65093" w:rsidRPr="00A53362">
        <w:rPr>
          <w:rFonts w:ascii="Times New Roman" w:hAnsi="Times New Roman" w:cs="Times New Roman"/>
          <w:sz w:val="24"/>
          <w:szCs w:val="24"/>
        </w:rPr>
        <w:t>; при выс</w:t>
      </w:r>
      <w:r w:rsidR="00F65093" w:rsidRPr="00A53362">
        <w:rPr>
          <w:rFonts w:ascii="Times New Roman" w:hAnsi="Times New Roman" w:cs="Times New Roman"/>
          <w:sz w:val="24"/>
          <w:szCs w:val="24"/>
        </w:rPr>
        <w:t>о</w:t>
      </w:r>
      <w:r w:rsidR="00F65093" w:rsidRPr="00A53362">
        <w:rPr>
          <w:rFonts w:ascii="Times New Roman" w:hAnsi="Times New Roman" w:cs="Times New Roman"/>
          <w:sz w:val="24"/>
          <w:szCs w:val="24"/>
        </w:rPr>
        <w:t xml:space="preserve">ком риске – </w:t>
      </w:r>
      <w:r w:rsidR="004308E3" w:rsidRPr="00A53362">
        <w:rPr>
          <w:rFonts w:ascii="Times New Roman" w:hAnsi="Times New Roman" w:cs="Times New Roman"/>
          <w:sz w:val="24"/>
          <w:szCs w:val="24"/>
        </w:rPr>
        <w:t>НАП</w:t>
      </w:r>
      <w:r w:rsidR="00F65093" w:rsidRPr="00A53362">
        <w:rPr>
          <w:rFonts w:ascii="Times New Roman" w:hAnsi="Times New Roman" w:cs="Times New Roman"/>
          <w:sz w:val="24"/>
          <w:szCs w:val="24"/>
        </w:rPr>
        <w:t xml:space="preserve"> или </w:t>
      </w:r>
      <w:r w:rsidR="004308E3" w:rsidRPr="00A53362">
        <w:rPr>
          <w:rFonts w:ascii="Times New Roman" w:hAnsi="Times New Roman" w:cs="Times New Roman"/>
          <w:sz w:val="24"/>
          <w:szCs w:val="24"/>
        </w:rPr>
        <w:t>ЦЕЛ</w:t>
      </w:r>
      <w:r w:rsidR="00F65093" w:rsidRPr="00A53362">
        <w:rPr>
          <w:rFonts w:ascii="Times New Roman" w:hAnsi="Times New Roman" w:cs="Times New Roman"/>
          <w:sz w:val="24"/>
          <w:szCs w:val="24"/>
        </w:rPr>
        <w:t xml:space="preserve"> + НДА</w:t>
      </w:r>
      <w:r w:rsidR="00227B4E" w:rsidRPr="00A53362">
        <w:rPr>
          <w:rFonts w:ascii="Times New Roman" w:hAnsi="Times New Roman" w:cs="Times New Roman"/>
          <w:sz w:val="24"/>
          <w:szCs w:val="24"/>
        </w:rPr>
        <w:t xml:space="preserve"> (</w:t>
      </w:r>
      <w:r w:rsidR="00227B4E" w:rsidRPr="00A53362">
        <w:rPr>
          <w:rFonts w:ascii="Times New Roman" w:hAnsi="Times New Roman" w:cs="Times New Roman"/>
          <w:b/>
          <w:sz w:val="24"/>
          <w:szCs w:val="24"/>
        </w:rPr>
        <w:t>уровень доказательности А</w:t>
      </w:r>
      <w:r w:rsidR="00227B4E" w:rsidRPr="00A53362">
        <w:rPr>
          <w:rFonts w:ascii="Times New Roman" w:hAnsi="Times New Roman" w:cs="Times New Roman"/>
          <w:sz w:val="24"/>
          <w:szCs w:val="24"/>
        </w:rPr>
        <w:t>)</w:t>
      </w:r>
      <w:r w:rsidR="00F65093" w:rsidRPr="00A53362">
        <w:rPr>
          <w:rFonts w:ascii="Times New Roman" w:hAnsi="Times New Roman" w:cs="Times New Roman"/>
          <w:sz w:val="24"/>
          <w:szCs w:val="24"/>
        </w:rPr>
        <w:t xml:space="preserve">. </w:t>
      </w:r>
      <w:r w:rsidR="0070550D" w:rsidRPr="00A53362">
        <w:rPr>
          <w:rFonts w:ascii="Times New Roman" w:hAnsi="Times New Roman" w:cs="Times New Roman"/>
          <w:sz w:val="24"/>
          <w:szCs w:val="24"/>
        </w:rPr>
        <w:t xml:space="preserve">При максимальном риске ССС – осложнений применение любых НПВП противопоказано. </w:t>
      </w:r>
    </w:p>
    <w:p w:rsidR="00826C57" w:rsidRPr="00A53362" w:rsidRDefault="00E16C22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>Комментарий.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При невозможности использовать системные формы НПВП из-за риска ССС - осложнений в качестве анальгетиков следует назначить парацетамол (до 3 г/сутки), </w:t>
      </w:r>
      <w:proofErr w:type="spellStart"/>
      <w:r w:rsidRPr="00A53362">
        <w:rPr>
          <w:rFonts w:ascii="Times New Roman" w:hAnsi="Times New Roman" w:cs="Times New Roman"/>
          <w:i/>
          <w:sz w:val="24"/>
          <w:szCs w:val="24"/>
        </w:rPr>
        <w:t>опиоиды</w:t>
      </w:r>
      <w:proofErr w:type="spellEnd"/>
      <w:r w:rsidRPr="00A53362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A53362">
        <w:rPr>
          <w:rFonts w:ascii="Times New Roman" w:hAnsi="Times New Roman" w:cs="Times New Roman"/>
          <w:i/>
          <w:sz w:val="24"/>
          <w:szCs w:val="24"/>
        </w:rPr>
        <w:t>трамадол</w:t>
      </w:r>
      <w:proofErr w:type="spellEnd"/>
      <w:r w:rsidRPr="00A53362">
        <w:rPr>
          <w:rFonts w:ascii="Times New Roman" w:hAnsi="Times New Roman" w:cs="Times New Roman"/>
          <w:i/>
          <w:sz w:val="24"/>
          <w:szCs w:val="24"/>
        </w:rPr>
        <w:t xml:space="preserve">) и локальные формы НПВП. </w:t>
      </w:r>
      <w:r w:rsidR="00275BCB" w:rsidRPr="00A53362">
        <w:rPr>
          <w:rFonts w:ascii="Times New Roman" w:hAnsi="Times New Roman" w:cs="Times New Roman"/>
          <w:i/>
          <w:sz w:val="24"/>
          <w:szCs w:val="24"/>
        </w:rPr>
        <w:t xml:space="preserve">Препаратами выбора для </w:t>
      </w:r>
      <w:proofErr w:type="spellStart"/>
      <w:r w:rsidR="00275BCB" w:rsidRPr="00A53362">
        <w:rPr>
          <w:rFonts w:ascii="Times New Roman" w:hAnsi="Times New Roman" w:cs="Times New Roman"/>
          <w:i/>
          <w:sz w:val="24"/>
          <w:szCs w:val="24"/>
        </w:rPr>
        <w:t>антигиперте</w:t>
      </w:r>
      <w:r w:rsidR="00275BCB" w:rsidRPr="00A53362">
        <w:rPr>
          <w:rFonts w:ascii="Times New Roman" w:hAnsi="Times New Roman" w:cs="Times New Roman"/>
          <w:i/>
          <w:sz w:val="24"/>
          <w:szCs w:val="24"/>
        </w:rPr>
        <w:t>н</w:t>
      </w:r>
      <w:r w:rsidR="00275BCB" w:rsidRPr="00A53362">
        <w:rPr>
          <w:rFonts w:ascii="Times New Roman" w:hAnsi="Times New Roman" w:cs="Times New Roman"/>
          <w:i/>
          <w:sz w:val="24"/>
          <w:szCs w:val="24"/>
        </w:rPr>
        <w:t>зивной</w:t>
      </w:r>
      <w:proofErr w:type="spellEnd"/>
      <w:r w:rsidR="00275BCB" w:rsidRPr="00A53362">
        <w:rPr>
          <w:rFonts w:ascii="Times New Roman" w:hAnsi="Times New Roman" w:cs="Times New Roman"/>
          <w:i/>
          <w:sz w:val="24"/>
          <w:szCs w:val="24"/>
        </w:rPr>
        <w:t xml:space="preserve"> терапии на фоне приема НПВП считаются блокаторы </w:t>
      </w:r>
      <w:proofErr w:type="spellStart"/>
      <w:r w:rsidR="00275BCB" w:rsidRPr="00A53362">
        <w:rPr>
          <w:rFonts w:ascii="Times New Roman" w:hAnsi="Times New Roman" w:cs="Times New Roman"/>
          <w:i/>
          <w:sz w:val="24"/>
          <w:szCs w:val="24"/>
          <w:lang w:val="en-US"/>
        </w:rPr>
        <w:t>Ca</w:t>
      </w:r>
      <w:proofErr w:type="spellEnd"/>
      <w:r w:rsidR="00275BCB" w:rsidRPr="00A53362">
        <w:rPr>
          <w:rFonts w:ascii="Times New Roman" w:hAnsi="Times New Roman" w:cs="Times New Roman"/>
          <w:i/>
          <w:sz w:val="24"/>
          <w:szCs w:val="24"/>
          <w:vertAlign w:val="superscript"/>
        </w:rPr>
        <w:t>2+</w:t>
      </w:r>
      <w:r w:rsidR="00275BCB" w:rsidRPr="00A53362">
        <w:rPr>
          <w:rFonts w:ascii="Times New Roman" w:hAnsi="Times New Roman" w:cs="Times New Roman"/>
          <w:i/>
          <w:sz w:val="24"/>
          <w:szCs w:val="24"/>
        </w:rPr>
        <w:t xml:space="preserve"> каналов</w:t>
      </w:r>
      <w:r w:rsidR="00FF2B9C" w:rsidRPr="00A53362">
        <w:rPr>
          <w:rFonts w:ascii="Times New Roman" w:hAnsi="Times New Roman" w:cs="Times New Roman"/>
          <w:i/>
          <w:sz w:val="24"/>
          <w:szCs w:val="24"/>
        </w:rPr>
        <w:t xml:space="preserve">, такие как </w:t>
      </w:r>
      <w:proofErr w:type="spellStart"/>
      <w:r w:rsidR="00FF2B9C" w:rsidRPr="00A53362">
        <w:rPr>
          <w:rFonts w:ascii="Times New Roman" w:hAnsi="Times New Roman" w:cs="Times New Roman"/>
          <w:i/>
          <w:sz w:val="24"/>
          <w:szCs w:val="24"/>
        </w:rPr>
        <w:t>а</w:t>
      </w:r>
      <w:r w:rsidR="00FF2B9C" w:rsidRPr="00A53362">
        <w:rPr>
          <w:rFonts w:ascii="Times New Roman" w:hAnsi="Times New Roman" w:cs="Times New Roman"/>
          <w:i/>
          <w:sz w:val="24"/>
          <w:szCs w:val="24"/>
        </w:rPr>
        <w:t>м</w:t>
      </w:r>
      <w:r w:rsidR="00FF2B9C" w:rsidRPr="00A53362">
        <w:rPr>
          <w:rFonts w:ascii="Times New Roman" w:hAnsi="Times New Roman" w:cs="Times New Roman"/>
          <w:i/>
          <w:sz w:val="24"/>
          <w:szCs w:val="24"/>
        </w:rPr>
        <w:t>лодипин</w:t>
      </w:r>
      <w:proofErr w:type="spellEnd"/>
      <w:r w:rsidR="00275BCB" w:rsidRPr="00A53362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275BCB" w:rsidRPr="00A53362">
        <w:rPr>
          <w:rFonts w:ascii="Times New Roman" w:hAnsi="Times New Roman" w:cs="Times New Roman"/>
          <w:b/>
          <w:i/>
          <w:sz w:val="24"/>
          <w:szCs w:val="24"/>
        </w:rPr>
        <w:t>уровень доказательности В</w:t>
      </w:r>
      <w:r w:rsidR="00275BCB" w:rsidRPr="00A53362">
        <w:rPr>
          <w:rFonts w:ascii="Times New Roman" w:hAnsi="Times New Roman" w:cs="Times New Roman"/>
          <w:i/>
          <w:sz w:val="24"/>
          <w:szCs w:val="24"/>
        </w:rPr>
        <w:t>)</w:t>
      </w:r>
      <w:r w:rsidR="00C96886" w:rsidRPr="00A53362">
        <w:rPr>
          <w:rFonts w:ascii="Times New Roman" w:hAnsi="Times New Roman" w:cs="Times New Roman"/>
          <w:sz w:val="24"/>
          <w:szCs w:val="24"/>
        </w:rPr>
        <w:t xml:space="preserve"> [1,</w:t>
      </w:r>
      <w:r w:rsidR="00E546FC" w:rsidRPr="00A53362">
        <w:rPr>
          <w:rFonts w:ascii="Times New Roman" w:hAnsi="Times New Roman" w:cs="Times New Roman"/>
          <w:sz w:val="24"/>
          <w:szCs w:val="24"/>
        </w:rPr>
        <w:t>56,57</w:t>
      </w:r>
      <w:r w:rsidR="00C96886" w:rsidRPr="00A53362">
        <w:rPr>
          <w:rFonts w:ascii="Times New Roman" w:hAnsi="Times New Roman" w:cs="Times New Roman"/>
          <w:sz w:val="24"/>
          <w:szCs w:val="24"/>
        </w:rPr>
        <w:t>]</w:t>
      </w:r>
      <w:r w:rsidR="00275BCB" w:rsidRPr="00A53362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B93E97" w:rsidRPr="00A53362" w:rsidRDefault="00826C57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Поддержано рекомендациями 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EULAR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>, АРР</w:t>
      </w:r>
      <w:r w:rsidR="00B60112" w:rsidRPr="00A53362">
        <w:rPr>
          <w:rFonts w:ascii="Times New Roman" w:hAnsi="Times New Roman" w:cs="Times New Roman"/>
          <w:b/>
          <w:sz w:val="24"/>
          <w:szCs w:val="24"/>
          <w:u w:val="single"/>
        </w:rPr>
        <w:t>, национальными рекомендациями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74D97" w:rsidRPr="00A53362">
        <w:rPr>
          <w:rFonts w:ascii="Times New Roman" w:hAnsi="Times New Roman" w:cs="Times New Roman"/>
          <w:sz w:val="24"/>
          <w:szCs w:val="24"/>
        </w:rPr>
        <w:t>[1,14</w:t>
      </w:r>
      <w:r w:rsidR="00747571" w:rsidRPr="00A53362">
        <w:rPr>
          <w:rFonts w:ascii="Times New Roman" w:hAnsi="Times New Roman" w:cs="Times New Roman"/>
          <w:sz w:val="24"/>
          <w:szCs w:val="24"/>
        </w:rPr>
        <w:t>-17</w:t>
      </w:r>
      <w:r w:rsidR="00374D97" w:rsidRPr="00A53362">
        <w:rPr>
          <w:rFonts w:ascii="Times New Roman" w:hAnsi="Times New Roman" w:cs="Times New Roman"/>
          <w:sz w:val="24"/>
          <w:szCs w:val="24"/>
        </w:rPr>
        <w:t xml:space="preserve">].  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86DBC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18CE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144B7" w:rsidRPr="00A53362" w:rsidRDefault="0038223F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 xml:space="preserve">8. При сочетании факторов риска со стороны ЖКТ и ССС </w:t>
      </w:r>
      <w:r w:rsidR="00A86245" w:rsidRPr="00A53362">
        <w:rPr>
          <w:rFonts w:ascii="Times New Roman" w:hAnsi="Times New Roman" w:cs="Times New Roman"/>
          <w:sz w:val="24"/>
          <w:szCs w:val="24"/>
        </w:rPr>
        <w:t xml:space="preserve">более целесообразно </w:t>
      </w:r>
      <w:r w:rsidRPr="00A53362">
        <w:rPr>
          <w:rFonts w:ascii="Times New Roman" w:hAnsi="Times New Roman" w:cs="Times New Roman"/>
          <w:sz w:val="24"/>
          <w:szCs w:val="24"/>
        </w:rPr>
        <w:t xml:space="preserve">использовать комбинации </w:t>
      </w:r>
      <w:r w:rsidR="00CA2582" w:rsidRPr="00A53362">
        <w:rPr>
          <w:rFonts w:ascii="Times New Roman" w:hAnsi="Times New Roman" w:cs="Times New Roman"/>
          <w:sz w:val="24"/>
          <w:szCs w:val="24"/>
        </w:rPr>
        <w:t>НАП</w:t>
      </w:r>
      <w:r w:rsidRPr="00A53362">
        <w:rPr>
          <w:rFonts w:ascii="Times New Roman" w:hAnsi="Times New Roman" w:cs="Times New Roman"/>
          <w:sz w:val="24"/>
          <w:szCs w:val="24"/>
        </w:rPr>
        <w:t xml:space="preserve">+ИПП или </w:t>
      </w:r>
      <w:r w:rsidR="00CA2582" w:rsidRPr="00A53362">
        <w:rPr>
          <w:rFonts w:ascii="Times New Roman" w:hAnsi="Times New Roman" w:cs="Times New Roman"/>
          <w:sz w:val="24"/>
          <w:szCs w:val="24"/>
        </w:rPr>
        <w:t>ЦЕЛ</w:t>
      </w:r>
      <w:r w:rsidRPr="00A53362">
        <w:rPr>
          <w:rFonts w:ascii="Times New Roman" w:hAnsi="Times New Roman" w:cs="Times New Roman"/>
          <w:sz w:val="24"/>
          <w:szCs w:val="24"/>
        </w:rPr>
        <w:t>+НДА+ИПП (</w:t>
      </w:r>
      <w:r w:rsidRPr="00A53362">
        <w:rPr>
          <w:rFonts w:ascii="Times New Roman" w:hAnsi="Times New Roman" w:cs="Times New Roman"/>
          <w:b/>
          <w:sz w:val="24"/>
          <w:szCs w:val="24"/>
        </w:rPr>
        <w:t>уровень доказательности В</w:t>
      </w:r>
      <w:r w:rsidRPr="00A53362">
        <w:rPr>
          <w:rFonts w:ascii="Times New Roman" w:hAnsi="Times New Roman" w:cs="Times New Roman"/>
          <w:sz w:val="24"/>
          <w:szCs w:val="24"/>
        </w:rPr>
        <w:t>).</w:t>
      </w:r>
    </w:p>
    <w:p w:rsidR="00B93E97" w:rsidRPr="00A53362" w:rsidRDefault="00A135CD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>Комментарий.</w:t>
      </w:r>
      <w:r w:rsidR="007F44A1" w:rsidRPr="00A53362">
        <w:rPr>
          <w:rFonts w:ascii="Times New Roman" w:hAnsi="Times New Roman" w:cs="Times New Roman"/>
          <w:i/>
          <w:sz w:val="24"/>
          <w:szCs w:val="24"/>
        </w:rPr>
        <w:t xml:space="preserve"> По данным популяционных исследований, </w:t>
      </w:r>
      <w:proofErr w:type="gramStart"/>
      <w:r w:rsidR="007F44A1" w:rsidRPr="00A53362">
        <w:rPr>
          <w:rFonts w:ascii="Times New Roman" w:hAnsi="Times New Roman" w:cs="Times New Roman"/>
          <w:i/>
          <w:sz w:val="24"/>
          <w:szCs w:val="24"/>
        </w:rPr>
        <w:t>ЦЕЛ</w:t>
      </w:r>
      <w:proofErr w:type="gramEnd"/>
      <w:r w:rsidR="007F44A1" w:rsidRPr="00A53362">
        <w:rPr>
          <w:rFonts w:ascii="Times New Roman" w:hAnsi="Times New Roman" w:cs="Times New Roman"/>
          <w:i/>
          <w:sz w:val="24"/>
          <w:szCs w:val="24"/>
        </w:rPr>
        <w:t>+НДА более безопасен в о</w:t>
      </w:r>
      <w:r w:rsidR="007F44A1" w:rsidRPr="00A53362">
        <w:rPr>
          <w:rFonts w:ascii="Times New Roman" w:hAnsi="Times New Roman" w:cs="Times New Roman"/>
          <w:i/>
          <w:sz w:val="24"/>
          <w:szCs w:val="24"/>
        </w:rPr>
        <w:t>т</w:t>
      </w:r>
      <w:r w:rsidR="007F44A1" w:rsidRPr="00A53362">
        <w:rPr>
          <w:rFonts w:ascii="Times New Roman" w:hAnsi="Times New Roman" w:cs="Times New Roman"/>
          <w:i/>
          <w:sz w:val="24"/>
          <w:szCs w:val="24"/>
        </w:rPr>
        <w:t>ношении ЖКТ, чем н-НПВП+НДА</w:t>
      </w:r>
      <w:r w:rsidR="009B483B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483B" w:rsidRPr="00A53362">
        <w:rPr>
          <w:rFonts w:ascii="Times New Roman" w:hAnsi="Times New Roman" w:cs="Times New Roman"/>
          <w:sz w:val="24"/>
          <w:szCs w:val="24"/>
        </w:rPr>
        <w:t>[58-60]</w:t>
      </w:r>
      <w:r w:rsidR="002472B6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44A1" w:rsidRPr="00A5336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43848" w:rsidRPr="00A53362" w:rsidRDefault="00343848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Поддержано рекомендациями 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EULAR</w:t>
      </w:r>
      <w:r w:rsidR="002A7FF8" w:rsidRPr="00A53362">
        <w:rPr>
          <w:rFonts w:ascii="Times New Roman" w:hAnsi="Times New Roman" w:cs="Times New Roman"/>
          <w:b/>
          <w:sz w:val="24"/>
          <w:szCs w:val="24"/>
          <w:u w:val="single"/>
        </w:rPr>
        <w:t>, АРР, национальными рекомендациями</w:t>
      </w: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46047" w:rsidRPr="00A53362">
        <w:rPr>
          <w:rFonts w:ascii="Times New Roman" w:hAnsi="Times New Roman" w:cs="Times New Roman"/>
          <w:sz w:val="24"/>
          <w:szCs w:val="24"/>
        </w:rPr>
        <w:t xml:space="preserve">[1,14-17].  </w:t>
      </w:r>
      <w:r w:rsidR="00A46047"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46047" w:rsidRPr="00A5336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705E7" w:rsidRPr="00A53362" w:rsidRDefault="003F151F" w:rsidP="00A5336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7344B6" w:rsidRPr="00A53362">
        <w:rPr>
          <w:rFonts w:ascii="Times New Roman" w:hAnsi="Times New Roman" w:cs="Times New Roman"/>
          <w:sz w:val="24"/>
          <w:szCs w:val="24"/>
        </w:rPr>
        <w:t xml:space="preserve">Больные, принимающие НПВП, должны быть информированы о возможных осложнениях и необходимости контроля собственного состояния. </w:t>
      </w:r>
      <w:r w:rsidR="005962EB" w:rsidRPr="00A53362">
        <w:rPr>
          <w:rFonts w:ascii="Times New Roman" w:hAnsi="Times New Roman" w:cs="Times New Roman"/>
          <w:sz w:val="24"/>
          <w:szCs w:val="24"/>
        </w:rPr>
        <w:t>Им следует отказаться от курения, четко соблюдать предписания врача в отношении профилактических мероприятий, избегать бе</w:t>
      </w:r>
      <w:r w:rsidR="005962EB" w:rsidRPr="00A53362">
        <w:rPr>
          <w:rFonts w:ascii="Times New Roman" w:hAnsi="Times New Roman" w:cs="Times New Roman"/>
          <w:sz w:val="24"/>
          <w:szCs w:val="24"/>
        </w:rPr>
        <w:t>с</w:t>
      </w:r>
      <w:r w:rsidR="005962EB" w:rsidRPr="00A53362">
        <w:rPr>
          <w:rFonts w:ascii="Times New Roman" w:hAnsi="Times New Roman" w:cs="Times New Roman"/>
          <w:sz w:val="24"/>
          <w:szCs w:val="24"/>
        </w:rPr>
        <w:t xml:space="preserve">контрольного увеличения дозы НПВП и их комбинированного приема.  </w:t>
      </w:r>
    </w:p>
    <w:p w:rsidR="005962EB" w:rsidRPr="00A53362" w:rsidRDefault="005962EB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>Комментарий.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По данным популяционных исследований, курение, бесконтрольное увелич</w:t>
      </w:r>
      <w:r w:rsidRPr="00A53362">
        <w:rPr>
          <w:rFonts w:ascii="Times New Roman" w:hAnsi="Times New Roman" w:cs="Times New Roman"/>
          <w:i/>
          <w:sz w:val="24"/>
          <w:szCs w:val="24"/>
        </w:rPr>
        <w:t>е</w:t>
      </w:r>
      <w:r w:rsidRPr="00A53362">
        <w:rPr>
          <w:rFonts w:ascii="Times New Roman" w:hAnsi="Times New Roman" w:cs="Times New Roman"/>
          <w:i/>
          <w:sz w:val="24"/>
          <w:szCs w:val="24"/>
        </w:rPr>
        <w:t>ние дозы НПВП, их комбинация, а также недостаточная приверженность профилактич</w:t>
      </w:r>
      <w:r w:rsidRPr="00A53362">
        <w:rPr>
          <w:rFonts w:ascii="Times New Roman" w:hAnsi="Times New Roman" w:cs="Times New Roman"/>
          <w:i/>
          <w:sz w:val="24"/>
          <w:szCs w:val="24"/>
        </w:rPr>
        <w:t>е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ским мерам (отказ от приема ИПП) является важнейшими причинами развития ЖКТ </w:t>
      </w:r>
      <w:r w:rsidR="003B3807" w:rsidRPr="00A53362">
        <w:rPr>
          <w:rFonts w:ascii="Times New Roman" w:hAnsi="Times New Roman" w:cs="Times New Roman"/>
          <w:i/>
          <w:sz w:val="24"/>
          <w:szCs w:val="24"/>
        </w:rPr>
        <w:t>–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осложнений</w:t>
      </w:r>
      <w:r w:rsidR="003B3807"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3807" w:rsidRPr="00A53362">
        <w:rPr>
          <w:rFonts w:ascii="Times New Roman" w:hAnsi="Times New Roman" w:cs="Times New Roman"/>
          <w:sz w:val="24"/>
          <w:szCs w:val="24"/>
        </w:rPr>
        <w:t>[1,61,62]</w:t>
      </w:r>
      <w:r w:rsidRPr="00A53362">
        <w:rPr>
          <w:rFonts w:ascii="Times New Roman" w:hAnsi="Times New Roman" w:cs="Times New Roman"/>
          <w:sz w:val="24"/>
          <w:szCs w:val="24"/>
        </w:rPr>
        <w:t>.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576A8" w:rsidRPr="00A53362" w:rsidRDefault="005576A8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Поддержано рекомендациями  АРР </w:t>
      </w:r>
      <w:r w:rsidRPr="00A53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E8C" w:rsidRPr="00A53362">
        <w:rPr>
          <w:rFonts w:ascii="Times New Roman" w:hAnsi="Times New Roman" w:cs="Times New Roman"/>
          <w:sz w:val="24"/>
          <w:szCs w:val="24"/>
        </w:rPr>
        <w:t>[1]</w:t>
      </w:r>
    </w:p>
    <w:p w:rsidR="005576A8" w:rsidRPr="00A53362" w:rsidRDefault="005576A8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 xml:space="preserve">10. </w:t>
      </w:r>
      <w:r w:rsidR="00C64501" w:rsidRPr="00A53362">
        <w:rPr>
          <w:rFonts w:ascii="Times New Roman" w:hAnsi="Times New Roman" w:cs="Times New Roman"/>
          <w:sz w:val="24"/>
          <w:szCs w:val="24"/>
        </w:rPr>
        <w:t xml:space="preserve">На фоне длительного приема НПВП не реже, чем 1 раз в 3 месяца </w:t>
      </w:r>
      <w:r w:rsidR="00E02E7B" w:rsidRPr="00A53362">
        <w:rPr>
          <w:rFonts w:ascii="Times New Roman" w:hAnsi="Times New Roman" w:cs="Times New Roman"/>
          <w:sz w:val="24"/>
          <w:szCs w:val="24"/>
        </w:rPr>
        <w:t>следует контролир</w:t>
      </w:r>
      <w:r w:rsidR="00E02E7B" w:rsidRPr="00A53362">
        <w:rPr>
          <w:rFonts w:ascii="Times New Roman" w:hAnsi="Times New Roman" w:cs="Times New Roman"/>
          <w:sz w:val="24"/>
          <w:szCs w:val="24"/>
        </w:rPr>
        <w:t>о</w:t>
      </w:r>
      <w:r w:rsidR="00E02E7B" w:rsidRPr="00A53362">
        <w:rPr>
          <w:rFonts w:ascii="Times New Roman" w:hAnsi="Times New Roman" w:cs="Times New Roman"/>
          <w:sz w:val="24"/>
          <w:szCs w:val="24"/>
        </w:rPr>
        <w:t xml:space="preserve">вать </w:t>
      </w:r>
      <w:r w:rsidR="00C64501" w:rsidRPr="00A53362">
        <w:rPr>
          <w:rFonts w:ascii="Times New Roman" w:hAnsi="Times New Roman" w:cs="Times New Roman"/>
          <w:sz w:val="24"/>
          <w:szCs w:val="24"/>
        </w:rPr>
        <w:t>общий (</w:t>
      </w:r>
      <w:r w:rsidR="00E02E7B" w:rsidRPr="00A53362">
        <w:rPr>
          <w:rFonts w:ascii="Times New Roman" w:hAnsi="Times New Roman" w:cs="Times New Roman"/>
          <w:sz w:val="24"/>
          <w:szCs w:val="24"/>
        </w:rPr>
        <w:t>гемоглобин</w:t>
      </w:r>
      <w:r w:rsidR="00C64501" w:rsidRPr="00A53362">
        <w:rPr>
          <w:rFonts w:ascii="Times New Roman" w:hAnsi="Times New Roman" w:cs="Times New Roman"/>
          <w:sz w:val="24"/>
          <w:szCs w:val="24"/>
        </w:rPr>
        <w:t>)</w:t>
      </w:r>
      <w:r w:rsidR="00DC7AD8" w:rsidRPr="00A53362">
        <w:rPr>
          <w:rFonts w:ascii="Times New Roman" w:hAnsi="Times New Roman" w:cs="Times New Roman"/>
          <w:sz w:val="24"/>
          <w:szCs w:val="24"/>
        </w:rPr>
        <w:t xml:space="preserve"> и</w:t>
      </w:r>
      <w:r w:rsidR="00C64501" w:rsidRPr="00A53362">
        <w:rPr>
          <w:rFonts w:ascii="Times New Roman" w:hAnsi="Times New Roman" w:cs="Times New Roman"/>
          <w:sz w:val="24"/>
          <w:szCs w:val="24"/>
        </w:rPr>
        <w:t xml:space="preserve"> </w:t>
      </w:r>
      <w:r w:rsidR="00DC7AD8" w:rsidRPr="00A53362">
        <w:rPr>
          <w:rFonts w:ascii="Times New Roman" w:hAnsi="Times New Roman" w:cs="Times New Roman"/>
          <w:sz w:val="24"/>
          <w:szCs w:val="24"/>
        </w:rPr>
        <w:t>биохимический анализ</w:t>
      </w:r>
      <w:r w:rsidR="00E02E7B" w:rsidRPr="00A53362">
        <w:rPr>
          <w:rFonts w:ascii="Times New Roman" w:hAnsi="Times New Roman" w:cs="Times New Roman"/>
          <w:sz w:val="24"/>
          <w:szCs w:val="24"/>
        </w:rPr>
        <w:t>ы</w:t>
      </w:r>
      <w:r w:rsidR="00DC7AD8" w:rsidRPr="00A53362">
        <w:rPr>
          <w:rFonts w:ascii="Times New Roman" w:hAnsi="Times New Roman" w:cs="Times New Roman"/>
          <w:sz w:val="24"/>
          <w:szCs w:val="24"/>
        </w:rPr>
        <w:t xml:space="preserve"> крови (АЛТ). При каждом визите след</w:t>
      </w:r>
      <w:r w:rsidR="00DC7AD8" w:rsidRPr="00A53362">
        <w:rPr>
          <w:rFonts w:ascii="Times New Roman" w:hAnsi="Times New Roman" w:cs="Times New Roman"/>
          <w:sz w:val="24"/>
          <w:szCs w:val="24"/>
        </w:rPr>
        <w:t>у</w:t>
      </w:r>
      <w:r w:rsidR="00DC7AD8" w:rsidRPr="00A53362">
        <w:rPr>
          <w:rFonts w:ascii="Times New Roman" w:hAnsi="Times New Roman" w:cs="Times New Roman"/>
          <w:sz w:val="24"/>
          <w:szCs w:val="24"/>
        </w:rPr>
        <w:t>ет оценивать состояние больного, а также определять АД. При наличии показаний необх</w:t>
      </w:r>
      <w:r w:rsidR="00DC7AD8" w:rsidRPr="00A53362">
        <w:rPr>
          <w:rFonts w:ascii="Times New Roman" w:hAnsi="Times New Roman" w:cs="Times New Roman"/>
          <w:sz w:val="24"/>
          <w:szCs w:val="24"/>
        </w:rPr>
        <w:t>о</w:t>
      </w:r>
      <w:r w:rsidR="00DC7AD8" w:rsidRPr="00A53362">
        <w:rPr>
          <w:rFonts w:ascii="Times New Roman" w:hAnsi="Times New Roman" w:cs="Times New Roman"/>
          <w:sz w:val="24"/>
          <w:szCs w:val="24"/>
        </w:rPr>
        <w:t xml:space="preserve">димо назначить ЭГДС и СМАД. </w:t>
      </w:r>
    </w:p>
    <w:p w:rsidR="00DC7AD8" w:rsidRPr="00A53362" w:rsidRDefault="00DC7AD8" w:rsidP="00A5336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>Комментарий.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 ЭГДС и СМАД следует провести через 1-3 месяца после начала приема НПВП всем больным, имеющим ЖКТ и ССС факторы риска. В дальнейшем эти исследов</w:t>
      </w:r>
      <w:r w:rsidRPr="00A53362">
        <w:rPr>
          <w:rFonts w:ascii="Times New Roman" w:hAnsi="Times New Roman" w:cs="Times New Roman"/>
          <w:i/>
          <w:sz w:val="24"/>
          <w:szCs w:val="24"/>
        </w:rPr>
        <w:t>а</w:t>
      </w:r>
      <w:r w:rsidRPr="00A53362">
        <w:rPr>
          <w:rFonts w:ascii="Times New Roman" w:hAnsi="Times New Roman" w:cs="Times New Roman"/>
          <w:i/>
          <w:sz w:val="24"/>
          <w:szCs w:val="24"/>
        </w:rPr>
        <w:t xml:space="preserve">ния следует проводить не реже, чем 1 раз в год. </w:t>
      </w:r>
    </w:p>
    <w:p w:rsidR="00A53362" w:rsidRDefault="00DC7AD8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Поддержано рекомендациями  АРР </w:t>
      </w:r>
      <w:r w:rsidRPr="00A53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3CC" w:rsidRPr="00A53362">
        <w:rPr>
          <w:rFonts w:ascii="Times New Roman" w:hAnsi="Times New Roman" w:cs="Times New Roman"/>
          <w:sz w:val="24"/>
          <w:szCs w:val="24"/>
        </w:rPr>
        <w:t>[1]</w:t>
      </w:r>
    </w:p>
    <w:p w:rsidR="00B93E97" w:rsidRPr="00A53362" w:rsidRDefault="00B93E97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</w:rPr>
        <w:t xml:space="preserve">Таблица. </w:t>
      </w:r>
      <w:r w:rsidRPr="00A53362">
        <w:rPr>
          <w:rFonts w:ascii="Times New Roman" w:hAnsi="Times New Roman" w:cs="Times New Roman"/>
          <w:b/>
          <w:sz w:val="24"/>
          <w:szCs w:val="24"/>
        </w:rPr>
        <w:t>Факторы риска осложнений, связа</w:t>
      </w:r>
      <w:r w:rsidRPr="00A53362">
        <w:rPr>
          <w:rFonts w:ascii="Times New Roman" w:hAnsi="Times New Roman" w:cs="Times New Roman"/>
          <w:b/>
          <w:sz w:val="24"/>
          <w:szCs w:val="24"/>
        </w:rPr>
        <w:t>н</w:t>
      </w:r>
      <w:r w:rsidRPr="00A53362">
        <w:rPr>
          <w:rFonts w:ascii="Times New Roman" w:hAnsi="Times New Roman" w:cs="Times New Roman"/>
          <w:b/>
          <w:sz w:val="24"/>
          <w:szCs w:val="24"/>
        </w:rPr>
        <w:t xml:space="preserve">ных с приемом НПВП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828"/>
        <w:gridCol w:w="4359"/>
      </w:tblGrid>
      <w:tr w:rsidR="00B93E97" w:rsidRPr="00A53362" w:rsidTr="009917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Градация     риска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НПВП - </w:t>
            </w:r>
            <w:proofErr w:type="spellStart"/>
            <w:r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гастропатия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Кардиоваскулярные осложнения</w:t>
            </w:r>
          </w:p>
        </w:tc>
      </w:tr>
      <w:tr w:rsidR="00B93E97" w:rsidRPr="00A53362" w:rsidTr="009917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Умере</w:t>
            </w:r>
            <w:r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Пожилой возраст без допо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нительных факторов риска</w:t>
            </w:r>
          </w:p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Язвенный анамнез (редкие р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цидивы язв)</w:t>
            </w:r>
          </w:p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tabs>
                <w:tab w:val="center" w:pos="170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Прием ГК</w:t>
            </w:r>
          </w:p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Курение и прием алкоголя</w:t>
            </w:r>
          </w:p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Инфицированность 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pylori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Компенсированная лечением арт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риальная гипертензия (АГ) и се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дечная недостаточность (СН)</w:t>
            </w:r>
          </w:p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Наличие традиционных кардиова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кулярных факторов риска при о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сутствии  ИБС</w:t>
            </w:r>
          </w:p>
        </w:tc>
      </w:tr>
      <w:tr w:rsidR="00B93E97" w:rsidRPr="00A53362" w:rsidTr="009917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Язвенный анамнез</w:t>
            </w:r>
          </w:p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Прием препаратов, влияющих на свертываемость крови (например,  аспирина)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Некомпенсированная</w:t>
            </w:r>
            <w:proofErr w:type="gramEnd"/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АГ и СН, не осложненная ИБС</w:t>
            </w:r>
          </w:p>
        </w:tc>
      </w:tr>
      <w:tr w:rsidR="00B93E97" w:rsidRPr="00A53362" w:rsidTr="0099177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</w:t>
            </w:r>
            <w:r w:rsidR="0099177C"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A5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мальный</w:t>
            </w:r>
            <w:proofErr w:type="spellEnd"/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Осложненные язвы (кровот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чение, перфорация)</w:t>
            </w:r>
          </w:p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Часто рецидивирующие язвы (особенно НПВП - индуцир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ванные)</w:t>
            </w:r>
          </w:p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Комбинация 2-х и более фа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торов риска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E97" w:rsidRPr="00A53362" w:rsidRDefault="00B93E97" w:rsidP="00A53362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ИБС</w:t>
            </w:r>
            <w:proofErr w:type="gramEnd"/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+ перенесенный инфаркт ми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карда, операции на сердце (АКШ, </w:t>
            </w:r>
            <w:proofErr w:type="spellStart"/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эндоваскулярное</w:t>
            </w:r>
            <w:proofErr w:type="spellEnd"/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стентирование</w:t>
            </w:r>
            <w:proofErr w:type="spellEnd"/>
            <w:r w:rsidRPr="00A533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др.),  ишемический инсульт</w:t>
            </w:r>
          </w:p>
        </w:tc>
      </w:tr>
    </w:tbl>
    <w:p w:rsidR="00B93E97" w:rsidRPr="00A53362" w:rsidRDefault="00B93E97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935" w:rsidRPr="00A53362" w:rsidRDefault="00E82935" w:rsidP="00A5336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3362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Дополнительно: </w:t>
      </w:r>
    </w:p>
    <w:p w:rsidR="00B93E97" w:rsidRPr="00A53362" w:rsidRDefault="00B93E97" w:rsidP="00A533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  <w:u w:val="single"/>
        </w:rPr>
        <w:t>Поражение пищевода</w:t>
      </w:r>
      <w:r w:rsidRPr="00A53362">
        <w:rPr>
          <w:rFonts w:ascii="Times New Roman" w:hAnsi="Times New Roman" w:cs="Times New Roman"/>
          <w:sz w:val="24"/>
          <w:szCs w:val="24"/>
        </w:rPr>
        <w:t>: ГЭРБ</w:t>
      </w:r>
    </w:p>
    <w:p w:rsidR="00B93E97" w:rsidRPr="00A53362" w:rsidRDefault="00B93E97" w:rsidP="00A533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u w:val="single"/>
        </w:rPr>
        <w:t>Гепатопатия</w:t>
      </w:r>
      <w:proofErr w:type="spellEnd"/>
      <w:r w:rsidRPr="00A5336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53362">
        <w:rPr>
          <w:rFonts w:ascii="Times New Roman" w:hAnsi="Times New Roman" w:cs="Times New Roman"/>
          <w:sz w:val="24"/>
          <w:szCs w:val="24"/>
        </w:rPr>
        <w:t xml:space="preserve"> наличие заболеваний печени, сопровождающихся нарушением фун</w:t>
      </w:r>
      <w:r w:rsidRPr="00A53362">
        <w:rPr>
          <w:rFonts w:ascii="Times New Roman" w:hAnsi="Times New Roman" w:cs="Times New Roman"/>
          <w:sz w:val="24"/>
          <w:szCs w:val="24"/>
        </w:rPr>
        <w:t>к</w:t>
      </w:r>
      <w:r w:rsidRPr="00A53362">
        <w:rPr>
          <w:rFonts w:ascii="Times New Roman" w:hAnsi="Times New Roman" w:cs="Times New Roman"/>
          <w:sz w:val="24"/>
          <w:szCs w:val="24"/>
        </w:rPr>
        <w:t xml:space="preserve">ции; хронический алкоголизм; сопутствующий прием 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гепатотоксичных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 препаратов (например, высоких доз парацетамола)</w:t>
      </w:r>
    </w:p>
    <w:p w:rsidR="00B93E97" w:rsidRPr="00A53362" w:rsidRDefault="00B93E97" w:rsidP="00A533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  <w:u w:val="single"/>
        </w:rPr>
        <w:t>НПВП – нефропатия</w:t>
      </w:r>
      <w:r w:rsidRPr="00A53362">
        <w:rPr>
          <w:rFonts w:ascii="Times New Roman" w:hAnsi="Times New Roman" w:cs="Times New Roman"/>
          <w:sz w:val="24"/>
          <w:szCs w:val="24"/>
        </w:rPr>
        <w:t xml:space="preserve">: заболевания почек, сопровождающаяся снижением клубочковой фильтрации или протеинурий, 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гиповолемия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 и существенное снижение АД (ургентная ситуация)</w:t>
      </w:r>
    </w:p>
    <w:p w:rsidR="00B376C0" w:rsidRDefault="00B93E97" w:rsidP="00A533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  <w:u w:val="single"/>
        </w:rPr>
        <w:t>Патология тонкой и толстой кишки</w:t>
      </w:r>
      <w:r w:rsidRPr="00A53362">
        <w:rPr>
          <w:rFonts w:ascii="Times New Roman" w:hAnsi="Times New Roman" w:cs="Times New Roman"/>
          <w:sz w:val="24"/>
          <w:szCs w:val="24"/>
        </w:rPr>
        <w:t>: хронические воспалительные заболевания к</w:t>
      </w:r>
      <w:r w:rsidRPr="00A53362">
        <w:rPr>
          <w:rFonts w:ascii="Times New Roman" w:hAnsi="Times New Roman" w:cs="Times New Roman"/>
          <w:sz w:val="24"/>
          <w:szCs w:val="24"/>
        </w:rPr>
        <w:t>и</w:t>
      </w:r>
      <w:r w:rsidRPr="00A53362">
        <w:rPr>
          <w:rFonts w:ascii="Times New Roman" w:hAnsi="Times New Roman" w:cs="Times New Roman"/>
          <w:sz w:val="24"/>
          <w:szCs w:val="24"/>
        </w:rPr>
        <w:t xml:space="preserve">шечника; дивертикулы; клинически выраженное нарушение микробного равновесия  </w:t>
      </w:r>
      <w:r w:rsidR="00FB18CE" w:rsidRPr="00A53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362" w:rsidRPr="00A53362" w:rsidRDefault="00A53362" w:rsidP="00A533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7378" w:rsidRPr="00A53362" w:rsidRDefault="00287378" w:rsidP="00A533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36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D1D76" w:rsidRPr="00A53362" w:rsidRDefault="00AD1D76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</w:rPr>
        <w:lastRenderedPageBreak/>
        <w:t>Каратеев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 А.Е., 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Яхно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 Н.Н., Лазебник Л.Б. и 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сотр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>. Применение нестероидных против</w:t>
      </w:r>
      <w:r w:rsidRPr="00A53362">
        <w:rPr>
          <w:rFonts w:ascii="Times New Roman" w:hAnsi="Times New Roman" w:cs="Times New Roman"/>
          <w:sz w:val="24"/>
          <w:szCs w:val="24"/>
        </w:rPr>
        <w:t>о</w:t>
      </w:r>
      <w:r w:rsidRPr="00A53362">
        <w:rPr>
          <w:rFonts w:ascii="Times New Roman" w:hAnsi="Times New Roman" w:cs="Times New Roman"/>
          <w:sz w:val="24"/>
          <w:szCs w:val="24"/>
        </w:rPr>
        <w:t xml:space="preserve">воспалительных препаратов. Клинические рекомендации.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Москва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, «ИМА-ПРЕСС», 2009, 167 с.  </w:t>
      </w:r>
    </w:p>
    <w:p w:rsidR="006D3CA2" w:rsidRPr="00A53362" w:rsidRDefault="006D3CA2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Boureau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Schneid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Zeghari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N., et al. The IPSO study: ibuprofen,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paracetamol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study in osteoa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thritis. A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randomised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comparative clinical study comparing the efficacy and safety of ibuprofen and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paracetamol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analgesic treatment of osteoarthritis of knee or hip. Ann. Rheum. Dis., 2004, 63, 1028-1035.</w:t>
      </w:r>
    </w:p>
    <w:p w:rsidR="006D3CA2" w:rsidRPr="00A53362" w:rsidRDefault="006D3CA2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Pincus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T., Koch G., Lei H., et al. Patient Preference for Placebo, Acetaminophen (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paracet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mol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or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Celecoxib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Efficacy Studies (PACES): two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randomised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, double blind, placebo co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trolled, crossover clinical trials in patients with knee or hip osteoarthritis. Ann. Rheum. Dis., 2004, 63, 931-939.</w:t>
      </w:r>
    </w:p>
    <w:p w:rsidR="006D3CA2" w:rsidRPr="00A53362" w:rsidRDefault="006D3CA2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O'Donnell J., Ekman E., Spalding W., et al. The effectiveness of a weak opioid medication versus a cyclo-oxygenase-2 (COX-2) selective non-steroidal anti-inflammatory drug in treating flare-up of chronic low-back pain: results from two randomized, double-blind, 6-week studies. J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Int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 Res., 2009, 37(6): 1789-1802.</w:t>
      </w:r>
    </w:p>
    <w:p w:rsidR="006D3CA2" w:rsidRPr="00A53362" w:rsidRDefault="006D3CA2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Beaulieu A.,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Peloso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Haraoui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B., et al. Once-daily, controlled-release tramadol and su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tained-release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diclofenac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relieve chronic pain due to osteoarthritis: a randomized controlled trial. Pain Res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Manag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>. 2008, 13(2): 103-110</w:t>
      </w:r>
    </w:p>
    <w:p w:rsidR="006D3CA2" w:rsidRPr="00A53362" w:rsidRDefault="006D3CA2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Delemos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B., Xiang J., Benson C., et al. Tramadol Hydrochloride Extended-Release Once-Daily in the Treatment of Osteoarthritis of the Knee and/or Hip: A Double-Blind, Rando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ized, Dose-Ranging Trial. Am J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>. 2010 Mar 3. [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ahead of print]</w:t>
      </w:r>
    </w:p>
    <w:p w:rsidR="00774E47" w:rsidRPr="00A53362" w:rsidRDefault="00774E47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Bombardier C.,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Laine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Reicin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A., et al. Comparison of upper gastrointestinal toxicity of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rofecoxib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and naproxen in patients with rheumatoid arthritis. VIGOR Study Group. N. Engl. J. Med., 2000, 343, p.1520-1528.</w:t>
      </w:r>
    </w:p>
    <w:p w:rsidR="00774E47" w:rsidRPr="00A53362" w:rsidRDefault="00774E47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Collantes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E., Curtis S., Lee K., et al. A multinational randomized, controlled, clinical trial of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etoricoxib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in the treatment of rheumatoid arthritis.  BMC </w:t>
      </w:r>
      <w:proofErr w:type="spellStart"/>
      <w:proofErr w:type="gramStart"/>
      <w:r w:rsidRPr="00A53362">
        <w:rPr>
          <w:rFonts w:ascii="Times New Roman" w:hAnsi="Times New Roman" w:cs="Times New Roman"/>
          <w:sz w:val="24"/>
          <w:szCs w:val="24"/>
          <w:lang w:val="en-US"/>
        </w:rPr>
        <w:t>Fam</w:t>
      </w:r>
      <w:proofErr w:type="spellEnd"/>
      <w:proofErr w:type="gram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Pract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>. 2002; 3: 10.</w:t>
      </w:r>
    </w:p>
    <w:p w:rsidR="00774E47" w:rsidRPr="00A53362" w:rsidRDefault="00774E47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3362">
        <w:rPr>
          <w:rFonts w:ascii="Times New Roman" w:eastAsia="Calibri" w:hAnsi="Times New Roman" w:cs="Times New Roman"/>
          <w:sz w:val="24"/>
          <w:szCs w:val="24"/>
        </w:rPr>
        <w:t>Каратеев</w:t>
      </w:r>
      <w:proofErr w:type="spellEnd"/>
      <w:r w:rsidRPr="00A53362">
        <w:rPr>
          <w:rFonts w:ascii="Times New Roman" w:eastAsia="Calibri" w:hAnsi="Times New Roman" w:cs="Times New Roman"/>
          <w:sz w:val="24"/>
          <w:szCs w:val="24"/>
        </w:rPr>
        <w:t xml:space="preserve"> А.Е., </w:t>
      </w:r>
      <w:proofErr w:type="spellStart"/>
      <w:r w:rsidRPr="00A53362">
        <w:rPr>
          <w:rFonts w:ascii="Times New Roman" w:eastAsia="Calibri" w:hAnsi="Times New Roman" w:cs="Times New Roman"/>
          <w:sz w:val="24"/>
          <w:szCs w:val="24"/>
        </w:rPr>
        <w:t>Каратеев</w:t>
      </w:r>
      <w:proofErr w:type="spellEnd"/>
      <w:r w:rsidRPr="00A53362">
        <w:rPr>
          <w:rFonts w:ascii="Times New Roman" w:eastAsia="Calibri" w:hAnsi="Times New Roman" w:cs="Times New Roman"/>
          <w:sz w:val="24"/>
          <w:szCs w:val="24"/>
        </w:rPr>
        <w:t xml:space="preserve"> Д.Е., </w:t>
      </w:r>
      <w:proofErr w:type="spellStart"/>
      <w:r w:rsidRPr="00A53362">
        <w:rPr>
          <w:rFonts w:ascii="Times New Roman" w:eastAsia="Calibri" w:hAnsi="Times New Roman" w:cs="Times New Roman"/>
          <w:sz w:val="24"/>
          <w:szCs w:val="24"/>
        </w:rPr>
        <w:t>Лучихина</w:t>
      </w:r>
      <w:proofErr w:type="spellEnd"/>
      <w:r w:rsidRPr="00A53362">
        <w:rPr>
          <w:rFonts w:ascii="Times New Roman" w:eastAsia="Calibri" w:hAnsi="Times New Roman" w:cs="Times New Roman"/>
          <w:sz w:val="24"/>
          <w:szCs w:val="24"/>
        </w:rPr>
        <w:t xml:space="preserve"> Е.Л. и др. Эффективность и безопасность </w:t>
      </w:r>
      <w:proofErr w:type="spellStart"/>
      <w:r w:rsidRPr="00A53362">
        <w:rPr>
          <w:rFonts w:ascii="Times New Roman" w:eastAsia="Calibri" w:hAnsi="Times New Roman" w:cs="Times New Roman"/>
          <w:sz w:val="24"/>
          <w:szCs w:val="24"/>
        </w:rPr>
        <w:t>м</w:t>
      </w:r>
      <w:r w:rsidRPr="00A53362">
        <w:rPr>
          <w:rFonts w:ascii="Times New Roman" w:eastAsia="Calibri" w:hAnsi="Times New Roman" w:cs="Times New Roman"/>
          <w:sz w:val="24"/>
          <w:szCs w:val="24"/>
        </w:rPr>
        <w:t>о</w:t>
      </w:r>
      <w:r w:rsidRPr="00A53362">
        <w:rPr>
          <w:rFonts w:ascii="Times New Roman" w:eastAsia="Calibri" w:hAnsi="Times New Roman" w:cs="Times New Roman"/>
          <w:sz w:val="24"/>
          <w:szCs w:val="24"/>
        </w:rPr>
        <w:t>нотерапии</w:t>
      </w:r>
      <w:proofErr w:type="spellEnd"/>
      <w:r w:rsidRPr="00A53362">
        <w:rPr>
          <w:rFonts w:ascii="Times New Roman" w:eastAsia="Calibri" w:hAnsi="Times New Roman" w:cs="Times New Roman"/>
          <w:sz w:val="24"/>
          <w:szCs w:val="24"/>
        </w:rPr>
        <w:t xml:space="preserve"> высокими дозами НПВП при раннем артрите. РМЖ, 2006, 16, 24-29. </w:t>
      </w:r>
    </w:p>
    <w:p w:rsidR="00340C07" w:rsidRPr="00A53362" w:rsidRDefault="00340C07" w:rsidP="00A53362">
      <w:pPr>
        <w:pStyle w:val="3"/>
        <w:numPr>
          <w:ilvl w:val="0"/>
          <w:numId w:val="12"/>
        </w:numPr>
        <w:rPr>
          <w:snapToGrid w:val="0"/>
          <w:lang w:val="en-US"/>
        </w:rPr>
      </w:pPr>
      <w:r w:rsidRPr="00A53362">
        <w:rPr>
          <w:snapToGrid w:val="0"/>
          <w:lang w:val="da-DK"/>
        </w:rPr>
        <w:t xml:space="preserve">Jordan K., Arden N., Doherty M., et al. </w:t>
      </w:r>
      <w:r w:rsidRPr="00A53362">
        <w:rPr>
          <w:snapToGrid w:val="0"/>
          <w:lang w:val="en-US"/>
        </w:rPr>
        <w:t>EULAR Recommendations 2003: an evidence based a</w:t>
      </w:r>
      <w:r w:rsidRPr="00A53362">
        <w:rPr>
          <w:snapToGrid w:val="0"/>
          <w:lang w:val="en-US"/>
        </w:rPr>
        <w:t>p</w:t>
      </w:r>
      <w:r w:rsidRPr="00A53362">
        <w:rPr>
          <w:snapToGrid w:val="0"/>
          <w:lang w:val="en-US"/>
        </w:rPr>
        <w:t xml:space="preserve">proach to the management of knee osteoarthritis: Report of a Task Force of the Standing Committee for International Clinical Studies Including Therapeutic Trials (ESCISIT). Ann Rheum Dis. 2003, 62(12): 1145-1155.  </w:t>
      </w:r>
    </w:p>
    <w:p w:rsidR="00B2033C" w:rsidRPr="00A53362" w:rsidRDefault="00B2033C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Zhang W., Doherty M.,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Leeb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B., et al. EULAR evidence based recommendations for the management of hand osteoarthritis: report of a Task Force of the EULAR Standing Commi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tee for International Clinical Studies Including Therapeutics (ESCISIT). Ann Rheum Dis. 2007; 66(3): 377-388. </w:t>
      </w:r>
    </w:p>
    <w:p w:rsidR="004B20A3" w:rsidRPr="00A53362" w:rsidRDefault="004B20A3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Zochling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J., van der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Heijde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D., Burgos-Vargas R., et al. ASAS/EULAR recommendations for the management of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ankylosing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spondylitis. Ann Rheum Dis. 2006; 65(4): 442-452.</w:t>
      </w:r>
    </w:p>
    <w:p w:rsidR="00DE48FD" w:rsidRPr="00A53362" w:rsidRDefault="00DE48FD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Poddubnyy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D., Song I.,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Sieper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J. A systematic comparison of rheumatoid arthritis and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ank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losing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spondylitis: non-steroidal anti-inflammatory drugs.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Exp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Rheumatol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. 2009; 27(4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Suppl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55): 148-151.</w:t>
      </w:r>
    </w:p>
    <w:p w:rsidR="0026693D" w:rsidRPr="00A53362" w:rsidRDefault="0026693D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Burmester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Lanas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Biasucci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L., et al. The appropriate use of non-steroidal anti-inflammatory drugs in rheumatic disease: opinions of a multidisciplinary European expert panel. Ann Rheum Dis. 2011; 70(5): 818-822. </w:t>
      </w:r>
    </w:p>
    <w:p w:rsidR="00FA7464" w:rsidRPr="00A53362" w:rsidRDefault="00FA7464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Rostom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Moayyedi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P., Hunt R. Canadian Association of Gastroenterology Consensus Group. Canadian consensus guidelines on long-term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nonsteroidal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anti-inflammatory drug therapy and the need for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gastroprotection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: benefits versus risks. Aliment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Pharmacol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. 2009; 29(5): 481-496. </w:t>
      </w:r>
    </w:p>
    <w:p w:rsidR="00831B79" w:rsidRPr="00A53362" w:rsidRDefault="00831B79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Scheiman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Hindley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C. Strategies to optimize treatment with NSAIDs in patients at risk for gastr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intestinal and cardiovascular adverse events.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>. 2010</w:t>
      </w:r>
      <w:proofErr w:type="gramStart"/>
      <w:r w:rsidRPr="00A53362">
        <w:rPr>
          <w:rFonts w:ascii="Times New Roman" w:hAnsi="Times New Roman" w:cs="Times New Roman"/>
          <w:sz w:val="24"/>
          <w:szCs w:val="24"/>
          <w:lang w:val="en-US"/>
        </w:rPr>
        <w:t>;32</w:t>
      </w:r>
      <w:proofErr w:type="gramEnd"/>
      <w:r w:rsidRPr="00A53362">
        <w:rPr>
          <w:rFonts w:ascii="Times New Roman" w:hAnsi="Times New Roman" w:cs="Times New Roman"/>
          <w:sz w:val="24"/>
          <w:szCs w:val="24"/>
          <w:lang w:val="en-US"/>
        </w:rPr>
        <w:t>(4): 667-677.</w:t>
      </w:r>
    </w:p>
    <w:p w:rsidR="00FA7464" w:rsidRPr="00A53362" w:rsidRDefault="00FA7464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lastRenderedPageBreak/>
        <w:t>Adebajo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A. Non-steroidal anti-inflammatory drugs for the treatment of pain and immobility-associated osteoarthritis: consensus guidance for primary care. BMC Family Practice 2012, 13:23</w:t>
      </w:r>
    </w:p>
    <w:p w:rsidR="001334CC" w:rsidRPr="00A53362" w:rsidRDefault="001334CC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Greenwald M.,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Peloso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P., Mandel D., et al. Further assessment of the clinically effective dose range of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etoricoxib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>: a randomized, double-blinded, placebo-controlled trial in rheum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toid arthritis.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Curr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Med Res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Opin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. 2011, 27(10): 2033-2042. </w:t>
      </w:r>
    </w:p>
    <w:p w:rsidR="0083441A" w:rsidRPr="00A53362" w:rsidRDefault="0083441A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Moore R., Derry S.,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McQuay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H. Discontinuation rates in clinical trials in musculoskeletal pain: meta-analysis from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etoricoxib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clinical trial reports. Arthritis Res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Ther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. 2008; 10(3): R53.</w:t>
      </w:r>
      <w:r w:rsidRPr="00A5336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D05C68" w:rsidRPr="00A53362" w:rsidRDefault="00D05C68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Sieper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J.,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Klopsch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T., </w:t>
      </w:r>
      <w:proofErr w:type="gram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Richter</w:t>
      </w:r>
      <w:proofErr w:type="gram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M., et al. Comparison of two different dosages of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celecoxib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with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diclofenac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for the treatment of active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ankylosing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spondylitis: results of a 12-week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ra</w:t>
      </w:r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n</w:t>
      </w:r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domised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, double-blind, controlled study. Ann Rheum Dis. 2008; 67(3): 323-329. </w:t>
      </w:r>
    </w:p>
    <w:p w:rsidR="00275546" w:rsidRPr="00A53362" w:rsidRDefault="00275546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Kroon F.,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Landewé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Dougados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M., van der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Heijde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D. Continuous NSAID </w:t>
      </w:r>
      <w:proofErr w:type="gramStart"/>
      <w:r w:rsidRPr="00A53362">
        <w:rPr>
          <w:rFonts w:ascii="Times New Roman" w:hAnsi="Times New Roman" w:cs="Times New Roman"/>
          <w:sz w:val="24"/>
          <w:szCs w:val="24"/>
          <w:lang w:val="en-US"/>
        </w:rPr>
        <w:t>use</w:t>
      </w:r>
      <w:proofErr w:type="gram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reverts the effects of inflammation on radiographic progression in patients with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ankylosing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spondylitis. Ann Rheum Dis. 2012 May 5. [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ahead of print]</w:t>
      </w:r>
    </w:p>
    <w:p w:rsidR="00275546" w:rsidRPr="00A53362" w:rsidRDefault="00275546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Wanders A.,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Heijde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D.,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Landewé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R., et al.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Nonsteroidal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antiinflammatory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drugs reduce r</w:t>
      </w:r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a</w:t>
      </w:r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diographic progression in patients with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ankylosing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spondylitis: a randomized clinical trial. Arthritis Rheum. 2005, 52(6): 1756-1765. </w:t>
      </w:r>
    </w:p>
    <w:p w:rsidR="00275546" w:rsidRPr="00A53362" w:rsidRDefault="00275546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Haroon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N.,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Shen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H., Carty A. et al. Continuance of Non-Steroidal Anti-Inflammatory Drugs May Reduce Radiographic Progression in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Ankylosing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Spondylitis Patients on Biological Therapy [a</w:t>
      </w:r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b</w:t>
      </w:r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stract]. Arthritis Rheum 2011; 63 </w:t>
      </w:r>
      <w:proofErr w:type="spellStart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>Suppl</w:t>
      </w:r>
      <w:proofErr w:type="spellEnd"/>
      <w:r w:rsidRPr="00A53362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10: 1303</w:t>
      </w:r>
    </w:p>
    <w:p w:rsidR="00275546" w:rsidRPr="00A53362" w:rsidRDefault="00275546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Poddubnyy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D.,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Rudwaleit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Haibel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H., et al. Effect of non-steroidal anti-inflammatory drugs on radiographic spinal progression in patients with axial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spondyloarthritis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: results from the German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Spondyloarthritis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Inception Cohort. Ann Rheum Dis. 2012 Mar 29. </w:t>
      </w:r>
    </w:p>
    <w:p w:rsidR="00E57914" w:rsidRPr="00A53362" w:rsidRDefault="00E57914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Luyten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F.,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Geusens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P., Malaise M., et al. A prospective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randomised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multicentre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study co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paring continuous and intermittent treatment with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celecoxib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in patients with osteoarthritis of the knee or hip. Ann Rheum Dis. 2007, 66(1): 99-106.</w:t>
      </w:r>
    </w:p>
    <w:p w:rsidR="00E57914" w:rsidRPr="00A53362" w:rsidRDefault="00E57914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Strand V., Simon L., </w:t>
      </w:r>
      <w:proofErr w:type="spellStart"/>
      <w:r w:rsidRPr="00A53362">
        <w:rPr>
          <w:rFonts w:ascii="Times New Roman" w:hAnsi="Times New Roman" w:cs="Times New Roman"/>
          <w:iCs/>
          <w:sz w:val="24"/>
          <w:szCs w:val="24"/>
          <w:lang w:val="en-US"/>
        </w:rPr>
        <w:t>Dougados</w:t>
      </w:r>
      <w:proofErr w:type="spellEnd"/>
      <w:r w:rsidRPr="00A5336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M., et al. Treatment of osteoarthritis with continuous versus inte</w:t>
      </w:r>
      <w:r w:rsidRPr="00A53362">
        <w:rPr>
          <w:rFonts w:ascii="Times New Roman" w:hAnsi="Times New Roman" w:cs="Times New Roman"/>
          <w:iCs/>
          <w:sz w:val="24"/>
          <w:szCs w:val="24"/>
          <w:lang w:val="en-US"/>
        </w:rPr>
        <w:t>r</w:t>
      </w:r>
      <w:r w:rsidRPr="00A5336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mittent </w:t>
      </w:r>
      <w:proofErr w:type="spellStart"/>
      <w:r w:rsidRPr="00A53362">
        <w:rPr>
          <w:rFonts w:ascii="Times New Roman" w:hAnsi="Times New Roman" w:cs="Times New Roman"/>
          <w:iCs/>
          <w:sz w:val="24"/>
          <w:szCs w:val="24"/>
          <w:lang w:val="en-US"/>
        </w:rPr>
        <w:t>celecoxib</w:t>
      </w:r>
      <w:proofErr w:type="spellEnd"/>
      <w:r w:rsidRPr="00A5336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J </w:t>
      </w:r>
      <w:proofErr w:type="spellStart"/>
      <w:r w:rsidRPr="00A53362">
        <w:rPr>
          <w:rFonts w:ascii="Times New Roman" w:hAnsi="Times New Roman" w:cs="Times New Roman"/>
          <w:iCs/>
          <w:sz w:val="24"/>
          <w:szCs w:val="24"/>
          <w:lang w:val="en-US"/>
        </w:rPr>
        <w:t>Rheumatol</w:t>
      </w:r>
      <w:proofErr w:type="spellEnd"/>
      <w:r w:rsidRPr="00A5336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2011; 38(12): 2625-2634. </w:t>
      </w:r>
    </w:p>
    <w:p w:rsidR="009D303A" w:rsidRPr="00A53362" w:rsidRDefault="009D303A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Zhang W., Doherty M.,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Bardin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T., et al. EULAR evidence based recommendations for gout. Part II: Management. Report of a task force of the EULAR Standing Committee for Intern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tional Clinical Studies Including Therapeutics (ESCISIT). Ann Rheum Dis. 2006, 65(10): 1312-1324. </w:t>
      </w:r>
    </w:p>
    <w:p w:rsidR="00512F69" w:rsidRPr="00A53362" w:rsidRDefault="00512F69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Dougados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Listrat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V., Duchesne L., Amor B. Comparative efficacy of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ketoprofen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related to the route of administration (intramuscular or per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>). A double-blind study versus placebo in rheum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toid arthritis. Rev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Rhum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Mal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Osteoartic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>. 1992</w:t>
      </w:r>
      <w:proofErr w:type="gramStart"/>
      <w:r w:rsidRPr="00A53362">
        <w:rPr>
          <w:rFonts w:ascii="Times New Roman" w:hAnsi="Times New Roman" w:cs="Times New Roman"/>
          <w:sz w:val="24"/>
          <w:szCs w:val="24"/>
          <w:lang w:val="en-US"/>
        </w:rPr>
        <w:t>,59</w:t>
      </w:r>
      <w:proofErr w:type="gramEnd"/>
      <w:r w:rsidRPr="00A53362">
        <w:rPr>
          <w:rFonts w:ascii="Times New Roman" w:hAnsi="Times New Roman" w:cs="Times New Roman"/>
          <w:sz w:val="24"/>
          <w:szCs w:val="24"/>
          <w:lang w:val="en-US"/>
        </w:rPr>
        <w:t>(11):769-73.</w:t>
      </w:r>
    </w:p>
    <w:p w:rsidR="005C6317" w:rsidRPr="00A53362" w:rsidRDefault="005C6317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Neighbor M.,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Puntillo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K. Intramuscular ketorolac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vs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oral ibuprofen in emergency depar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ment patients with acute pain.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Acad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Emerg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Med. 1998</w:t>
      </w:r>
      <w:proofErr w:type="gramStart"/>
      <w:r w:rsidRPr="00A53362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A53362">
        <w:rPr>
          <w:rFonts w:ascii="Times New Roman" w:hAnsi="Times New Roman" w:cs="Times New Roman"/>
          <w:sz w:val="24"/>
          <w:szCs w:val="24"/>
          <w:lang w:val="en-US"/>
        </w:rPr>
        <w:t>(2): 92-93.</w:t>
      </w:r>
    </w:p>
    <w:p w:rsidR="0044527C" w:rsidRPr="00A53362" w:rsidRDefault="0044527C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Tramèr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M., Williams J., Carroll D.,  et al. Comparing analgesic efficacy of non-steroidal a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ti-inflammatory drugs given by different routes in acute and chronic pain: a qualitative sy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tematic r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view.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Anaesthesiol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Scand. 1998, 42(1):71-79.</w:t>
      </w:r>
    </w:p>
    <w:p w:rsidR="00AC4901" w:rsidRPr="00A53362" w:rsidRDefault="00C0788C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Altay B.,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Horasanli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K.,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Sarica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K., et al. Double-blind, placebo-controlled, randomized clin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cal trial of sublingual or intramuscular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piroxicam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in the treatment of renal colic. A compar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tive study.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Urol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Int. 2007; 79(1): 73-75.</w:t>
      </w:r>
    </w:p>
    <w:p w:rsidR="00AC4901" w:rsidRPr="00A53362" w:rsidRDefault="00AC4901" w:rsidP="00A5336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</w:rPr>
        <w:t>Каратеев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</w:rPr>
        <w:t xml:space="preserve"> А.Е., Насонова В.А. Развитие и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</w:rPr>
        <w:t>рецидивирование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</w:rPr>
        <w:t xml:space="preserve"> язв желудка и двенадцат</w:t>
      </w:r>
      <w:r w:rsidRPr="00A5336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53362">
        <w:rPr>
          <w:rFonts w:ascii="Times New Roman" w:eastAsia="Times New Roman" w:hAnsi="Times New Roman" w:cs="Times New Roman"/>
          <w:sz w:val="24"/>
          <w:szCs w:val="24"/>
        </w:rPr>
        <w:t xml:space="preserve">перстной кишки у больных, принимающих нестероидные противовоспалительные препараты: влияние стандартных факторов риска. Тер. Архив, 2008, 5, 62-66. </w:t>
      </w:r>
    </w:p>
    <w:p w:rsidR="00AC4901" w:rsidRPr="00A53362" w:rsidRDefault="00AC4901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Mellemkjaer L., Blot W., Sorensen H., et al. 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Upper gastrointestinal bleeding among users of NSAIDs: a population-based cohort study in Denmark. </w:t>
      </w:r>
      <w:proofErr w:type="gram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Br  J</w:t>
      </w:r>
      <w:proofErr w:type="gram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Pharmacol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2002, 53, 173-181.</w:t>
      </w:r>
    </w:p>
    <w:p w:rsidR="00801C25" w:rsidRPr="00A53362" w:rsidRDefault="00801C25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Altman R.,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Barthel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H. Topical therapies for osteoarthritis. Drugs. 2011, 9; 71(10): 1259-1279.</w:t>
      </w:r>
    </w:p>
    <w:p w:rsidR="00C3158B" w:rsidRPr="00A53362" w:rsidRDefault="00C3158B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Massey T., Derry S., Moore R.,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McQuay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H. Topical NSAIDs for acute pain in adults. Cochrane Database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Syst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Rev. 2010(6):CD007402.</w:t>
      </w:r>
    </w:p>
    <w:p w:rsidR="00C3158B" w:rsidRPr="00A53362" w:rsidRDefault="00C3158B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>Mason L., Moore R., Edwards J., et al. Topical NSAIDs for chronic musculoskeletal pain: sys-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tematic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review and meta-analysis. BMC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Musculoskelet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Disord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. 2004, 5: 28.    </w:t>
      </w:r>
    </w:p>
    <w:p w:rsidR="002E4100" w:rsidRPr="00A53362" w:rsidRDefault="002E4100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>Sands G., Shell B., Zhang R. Adverse events in patients with blood loss: a pooled analysis of 51 cli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ical studies from the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celecoxib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clinical trial database. 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Rheumatol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  J. 2012; 6: 44-49.</w:t>
      </w:r>
    </w:p>
    <w:p w:rsidR="002E4100" w:rsidRPr="00A53362" w:rsidRDefault="002E4100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Moore R., Derry S.,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Makinson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McQuay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H. Tolerability and adverse events in clinical trials of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celecoxib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in osteoarthritis and rheumatoid arthritis: systemic review and meta-analysis on info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mation from company clinical reports. Arthritis Res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2005; 7: 644-665.</w:t>
      </w:r>
    </w:p>
    <w:p w:rsidR="00185367" w:rsidRPr="00A53362" w:rsidRDefault="00185367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Chan F., </w:t>
      </w:r>
      <w:proofErr w:type="spellStart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Lanas</w:t>
      </w:r>
      <w:proofErr w:type="spell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A., </w:t>
      </w:r>
      <w:proofErr w:type="spellStart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Scheiman</w:t>
      </w:r>
      <w:proofErr w:type="spell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J., et al. </w:t>
      </w:r>
      <w:proofErr w:type="spellStart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Celecoxib</w:t>
      </w:r>
      <w:proofErr w:type="spell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versus omeprazole and </w:t>
      </w:r>
      <w:proofErr w:type="spellStart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diclofenac</w:t>
      </w:r>
      <w:proofErr w:type="spell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p</w:t>
      </w:r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tients with osteoarthritis and rheumatoid arthritis (CONDOR): a </w:t>
      </w:r>
      <w:proofErr w:type="spellStart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randomised</w:t>
      </w:r>
      <w:proofErr w:type="spell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trial. Lancet 2010; 376: 173–79</w:t>
      </w:r>
    </w:p>
    <w:p w:rsidR="00185367" w:rsidRPr="00A53362" w:rsidRDefault="00185367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González E.,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Patrignani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Tacconelli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S., Rodríguez L. Variability of risk of upper gastroi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testinal bleeding among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nonsteroidal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anti-inflammatory drugs. Arthritis Rheum,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2010;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62(6):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1592-1601.</w:t>
      </w:r>
    </w:p>
    <w:p w:rsidR="00927BE9" w:rsidRPr="00A53362" w:rsidRDefault="00927BE9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Ramey D., Watson D., Yu C., et al. The incidence of upper gastrointestinal adverse events in clinical trials of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etoricoxib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vs. non-selective NSAIDs: an updated combined analysis.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Curr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Med Res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Opin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. 2005, 21(5): 715-722. </w:t>
      </w:r>
    </w:p>
    <w:p w:rsidR="00927BE9" w:rsidRPr="00A53362" w:rsidRDefault="00927BE9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Hunt R., Harper S., Watson D., et al. The gastrointestinal safety of the COX-2 selective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inhi-bitor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etoricoxib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assessed by both endoscopy and analysis of upper gastrointestinal events. 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A53362">
        <w:rPr>
          <w:rFonts w:ascii="Times New Roman" w:hAnsi="Times New Roman" w:cs="Times New Roman"/>
          <w:sz w:val="24"/>
          <w:szCs w:val="24"/>
        </w:rPr>
        <w:t>Gastroenterol</w:t>
      </w:r>
      <w:proofErr w:type="spellEnd"/>
      <w:r w:rsidRPr="00A53362">
        <w:rPr>
          <w:rFonts w:ascii="Times New Roman" w:hAnsi="Times New Roman" w:cs="Times New Roman"/>
          <w:sz w:val="24"/>
          <w:szCs w:val="24"/>
        </w:rPr>
        <w:t>. 2003, 98(8): 1725-1733.</w:t>
      </w:r>
    </w:p>
    <w:p w:rsidR="00C22886" w:rsidRPr="00A53362" w:rsidRDefault="00C22886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53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Trelle</w:t>
      </w:r>
      <w:proofErr w:type="spellEnd"/>
      <w:r w:rsidRPr="00A53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S., </w:t>
      </w:r>
      <w:proofErr w:type="spellStart"/>
      <w:r w:rsidRPr="00A53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Reichenbach</w:t>
      </w:r>
      <w:proofErr w:type="spellEnd"/>
      <w:r w:rsidRPr="00A53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S., </w:t>
      </w:r>
      <w:proofErr w:type="spellStart"/>
      <w:r w:rsidRPr="00A53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Wandel</w:t>
      </w:r>
      <w:proofErr w:type="spellEnd"/>
      <w:r w:rsidRPr="00A5336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S., et al. Cardiovascular safety of non-steroidal anti-inflammatory drugs: network meta-analysis. BMJ 2011;342:7086 doi:10.1136 </w:t>
      </w:r>
    </w:p>
    <w:p w:rsidR="00C22886" w:rsidRPr="00A53362" w:rsidRDefault="00C22886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McGettigan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P., Henry D. Cardiovascular risk with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nonsteroidal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anti-inflammatory drugs: systematic review of population-based controlled observational studies.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PLoS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Med 2011; DOI:10.1371/journal.pmed.1001098.</w:t>
      </w:r>
    </w:p>
    <w:p w:rsidR="00C22886" w:rsidRPr="00A53362" w:rsidRDefault="00C22886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Fosbøl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Folke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F., Jacobsen S., et al. Cause-Specific Cardiovascular Risk Associated With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Nonsteroidal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Antiinflammatory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Drugs Among Healthy Individuals.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Circ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Cardiovasc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Qual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Outcomes 2010, 3, 395-405</w:t>
      </w:r>
    </w:p>
    <w:p w:rsidR="00C22886" w:rsidRPr="00A53362" w:rsidRDefault="00C22886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Helin-Salmivaara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A., Virtanen A.,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Vesalainen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R., et al. NSAID use and the risk of hospital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zation for first myocardial infarction in the general population: a nationwide case-control study from Finland.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Eur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Heart J., 2006, 27(14), 1657-1663.</w:t>
      </w:r>
    </w:p>
    <w:p w:rsidR="00DB736F" w:rsidRPr="00A53362" w:rsidRDefault="00DB736F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White W., West C., Borer J., et al. Risk of cardiovascular events in patients receiving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celecoxib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a meta-analysis of randomized clinical trials. Am J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Cardiol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. 2007, 99(1): 91-98.</w:t>
      </w:r>
    </w:p>
    <w:p w:rsidR="00DB736F" w:rsidRPr="00A53362" w:rsidRDefault="00DB736F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Sowers J., White W., Pitt B., et al. The Effects of cyclooxygenase-2 inhibitors and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no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steroidal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anti-inflammatory therapy on 24-hour blood pressure in patients with hypertension, osteoarthritis, and type 2 diabetes mellitus. Arch Intern Med. 2005</w:t>
      </w:r>
      <w:proofErr w:type="gram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,165</w:t>
      </w:r>
      <w:proofErr w:type="gram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(2):161-168.</w:t>
      </w:r>
    </w:p>
    <w:p w:rsidR="00582C2B" w:rsidRPr="00A53362" w:rsidRDefault="00582C2B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Singh G.,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Mithal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Triadafilopoulos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G. Both selective COX-2 inhibitors and non-selective NSAIDs i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crease the risk of acute myocardial infarction in patients with arthritis; selectivity is with patients, not the drug. Ann Rheum Dis 2005, 64 (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suppl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3), 85</w:t>
      </w:r>
    </w:p>
    <w:p w:rsidR="00FF452C" w:rsidRPr="00A53362" w:rsidRDefault="00FF452C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Hawkey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C., Talley N.,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Yemans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N., et al. Improvements with esomeprazole in patients with upper gastrointestinal symptoms taking non-steroidal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antiinflammatory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drugs, including s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lective COX-2 inhibitors. Am J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Gastroenterol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2005; 100: 1028-</w:t>
      </w:r>
      <w:proofErr w:type="gram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1036.</w:t>
      </w:r>
      <w:proofErr w:type="gramEnd"/>
    </w:p>
    <w:p w:rsidR="00FF452C" w:rsidRPr="00A53362" w:rsidRDefault="00FF452C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Scheiman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Yeomans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N., Talley N., et al. Prevention of ulcer by esomeprazole in at-risk patients using non-selective NSAIDs or COX-2 inhibitor. Am. J.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Gastroenterol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., 2006, 101, 701-710.</w:t>
      </w:r>
    </w:p>
    <w:p w:rsidR="00FF452C" w:rsidRPr="00A53362" w:rsidRDefault="00FF452C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Chan F., Wong V.,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Suen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B., et al. Combination of a cyclo-oxygenase-2 inhibitor and a pr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ton-pump inhibitor for prevention of recurrent ulcer bleeding in patients at very high risk: a double-blind,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ra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domised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trial.  Lancet, 2007, 369, 1621-1626. </w:t>
      </w:r>
    </w:p>
    <w:p w:rsidR="00FF452C" w:rsidRPr="00A53362" w:rsidRDefault="00FF452C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Goldstein J., Hochberg M., Fort J., et al. Clinical trial: the incidence of NSAID-associated endoscopic gastric ulcers in patients treated with PN 400 (naproxen plus esomeprazole ma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nesium) vs. ente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ic-coated naproxen alone. Aliment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Pharmacol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. 2010, 32(3):401-413.</w:t>
      </w:r>
    </w:p>
    <w:p w:rsidR="00991532" w:rsidRPr="00A53362" w:rsidRDefault="00991532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Goldstein J., </w:t>
      </w:r>
      <w:proofErr w:type="spellStart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Eisen</w:t>
      </w:r>
      <w:proofErr w:type="spell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G., Lewis B., et al. Video capsule endoscopy to prospectively assess small bowel injury with </w:t>
      </w:r>
      <w:proofErr w:type="spellStart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celecoxib</w:t>
      </w:r>
      <w:proofErr w:type="spell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naproxen plus omeprazole, and placebo. </w:t>
      </w:r>
      <w:proofErr w:type="spellStart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Clin</w:t>
      </w:r>
      <w:proofErr w:type="spell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Gastroe</w:t>
      </w:r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terol</w:t>
      </w:r>
      <w:proofErr w:type="spell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Hepatol</w:t>
      </w:r>
      <w:proofErr w:type="spell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>.,</w:t>
      </w:r>
      <w:proofErr w:type="gramEnd"/>
      <w:r w:rsidRPr="00A5336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2005, 3-13.</w:t>
      </w:r>
    </w:p>
    <w:p w:rsidR="00B55621" w:rsidRPr="00A53362" w:rsidRDefault="00B55621" w:rsidP="00A5336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Antman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E., Bennett J., Daugherty A., et al. Use of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Nonsteroidal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Antiinflammatory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Drugs. An Update for Clinicians: A Scientific Statement </w:t>
      </w:r>
      <w:proofErr w:type="gram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From</w:t>
      </w:r>
      <w:proofErr w:type="gram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American Heart Association. Circulation. 2007; 115: 1634-1642.</w:t>
      </w:r>
    </w:p>
    <w:p w:rsidR="00E165DF" w:rsidRPr="00A53362" w:rsidRDefault="00E165DF" w:rsidP="00A53362">
      <w:pPr>
        <w:pStyle w:val="a3"/>
        <w:numPr>
          <w:ilvl w:val="0"/>
          <w:numId w:val="12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Polonia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Boaventure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J., Gama G., et al. Influence of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nonsteroidal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antiinflammatory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drugs on renal function and 24-hour blood pressure-reducing effects of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enalapril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nifedipine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gastrointestinal therapeutic system in hypertensive patients. </w:t>
      </w: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J.Hypertens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. 1995; 13:925-931.</w:t>
      </w:r>
    </w:p>
    <w:p w:rsidR="00F969EA" w:rsidRPr="00A53362" w:rsidRDefault="00F969EA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hAnsi="Times New Roman" w:cs="Times New Roman"/>
          <w:sz w:val="24"/>
          <w:szCs w:val="24"/>
          <w:lang w:val="en-US"/>
        </w:rPr>
        <w:t>Morgan T., Anderson A., Bertram D., et al. Effect of indomethacin on blood pressure in e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derly people with essential hypertension well controlled on amlodipine or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enalapril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. Am J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Hypertens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. 2000, 13(11), 1161-1167.  </w:t>
      </w:r>
    </w:p>
    <w:p w:rsidR="009B483B" w:rsidRPr="00A53362" w:rsidRDefault="009B483B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Rahme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Bardou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Dasgupta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K., et al. Hospitalization for gastrointestinal bleeding as-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sociated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with non-steroidal anti-inflammatory drugs among elderly patients using low-dose aspirin: a retr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spective cohort study. Rheumatology (Oxford). 2007, 46(2): 265-272.</w:t>
      </w:r>
    </w:p>
    <w:p w:rsidR="009B483B" w:rsidRPr="00A53362" w:rsidRDefault="009B483B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Howes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L.  Selective COX-2 inhibitors, NSAIDs and cardiovascular events – is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celecoxib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the safest choice?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Ther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Risk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Manag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. 2007; 3(5): 831–845. </w:t>
      </w:r>
    </w:p>
    <w:p w:rsidR="009B483B" w:rsidRPr="00A53362" w:rsidRDefault="009B483B" w:rsidP="00A53362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Strand V. Are COX-2 inhibitors preferable to non-selective non-steroidal anti-inflammatory drugs in patients with risk of cardiovascular events taking low-dose aspirin? Lancet. 2007, 370(9605), 2138-2151.</w:t>
      </w:r>
    </w:p>
    <w:p w:rsidR="00B05D86" w:rsidRPr="00A53362" w:rsidRDefault="00B05D86" w:rsidP="00A5336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3362">
        <w:rPr>
          <w:rFonts w:ascii="Times New Roman" w:eastAsia="Times New Roman" w:hAnsi="Times New Roman" w:cs="Times New Roman"/>
          <w:sz w:val="24"/>
          <w:szCs w:val="24"/>
        </w:rPr>
        <w:t>Каратеев</w:t>
      </w:r>
      <w:proofErr w:type="spellEnd"/>
      <w:r w:rsidRPr="00A53362">
        <w:rPr>
          <w:rFonts w:ascii="Times New Roman" w:eastAsia="Times New Roman" w:hAnsi="Times New Roman" w:cs="Times New Roman"/>
          <w:sz w:val="24"/>
          <w:szCs w:val="24"/>
        </w:rPr>
        <w:t xml:space="preserve"> А.Е., Насонов Е.Л. НПВП-ассоциированная патология ЖКТ: реальное с</w:t>
      </w:r>
      <w:r w:rsidRPr="00A5336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53362">
        <w:rPr>
          <w:rFonts w:ascii="Times New Roman" w:eastAsia="Times New Roman" w:hAnsi="Times New Roman" w:cs="Times New Roman"/>
          <w:sz w:val="24"/>
          <w:szCs w:val="24"/>
        </w:rPr>
        <w:t>стояние дел в России. РМЖ</w:t>
      </w:r>
      <w:r w:rsidRPr="00A53362">
        <w:rPr>
          <w:rFonts w:ascii="Times New Roman" w:eastAsia="Times New Roman" w:hAnsi="Times New Roman" w:cs="Times New Roman"/>
          <w:sz w:val="24"/>
          <w:szCs w:val="24"/>
          <w:lang w:val="en-US"/>
        </w:rPr>
        <w:t>, 2006, 15, 1073-1078.</w:t>
      </w:r>
    </w:p>
    <w:p w:rsidR="006D5426" w:rsidRPr="00A53362" w:rsidRDefault="006D5426" w:rsidP="00A5336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53362">
        <w:rPr>
          <w:rFonts w:ascii="Times New Roman" w:hAnsi="Times New Roman" w:cs="Times New Roman"/>
          <w:sz w:val="24"/>
          <w:szCs w:val="24"/>
          <w:lang w:val="en-US"/>
        </w:rPr>
        <w:t>van</w:t>
      </w:r>
      <w:proofErr w:type="gram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Soest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Valkhoff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Mazzaglia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G., et al. Suboptimal 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gastroprotective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coverage of NSAID use and the risk of upper gastrointestinal bleeding and ulcers: an observational study using three Europ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3362">
        <w:rPr>
          <w:rFonts w:ascii="Times New Roman" w:hAnsi="Times New Roman" w:cs="Times New Roman"/>
          <w:sz w:val="24"/>
          <w:szCs w:val="24"/>
          <w:lang w:val="en-US"/>
        </w:rPr>
        <w:t>an databases. Gut. 2011 Jun 2. [</w:t>
      </w:r>
      <w:proofErr w:type="spellStart"/>
      <w:r w:rsidRPr="00A53362">
        <w:rPr>
          <w:rFonts w:ascii="Times New Roman" w:hAnsi="Times New Roman" w:cs="Times New Roman"/>
          <w:sz w:val="24"/>
          <w:szCs w:val="24"/>
          <w:lang w:val="en-US"/>
        </w:rPr>
        <w:t>Epub</w:t>
      </w:r>
      <w:proofErr w:type="spellEnd"/>
      <w:r w:rsidRPr="00A53362">
        <w:rPr>
          <w:rFonts w:ascii="Times New Roman" w:hAnsi="Times New Roman" w:cs="Times New Roman"/>
          <w:sz w:val="24"/>
          <w:szCs w:val="24"/>
          <w:lang w:val="en-US"/>
        </w:rPr>
        <w:t xml:space="preserve"> ahead of print]</w:t>
      </w:r>
    </w:p>
    <w:p w:rsidR="0042436E" w:rsidRPr="00A53362" w:rsidRDefault="0042436E" w:rsidP="00A53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2436E" w:rsidRPr="00A53362" w:rsidSect="00EC4C03"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EDF" w:rsidRDefault="00656EDF" w:rsidP="00AC7BD0">
      <w:pPr>
        <w:spacing w:after="0" w:line="240" w:lineRule="auto"/>
      </w:pPr>
      <w:r>
        <w:separator/>
      </w:r>
    </w:p>
  </w:endnote>
  <w:endnote w:type="continuationSeparator" w:id="0">
    <w:p w:rsidR="00656EDF" w:rsidRDefault="00656EDF" w:rsidP="00AC7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EDF" w:rsidRDefault="00656EDF" w:rsidP="00AC7BD0">
      <w:pPr>
        <w:spacing w:after="0" w:line="240" w:lineRule="auto"/>
      </w:pPr>
      <w:r>
        <w:separator/>
      </w:r>
    </w:p>
  </w:footnote>
  <w:footnote w:type="continuationSeparator" w:id="0">
    <w:p w:rsidR="00656EDF" w:rsidRDefault="00656EDF" w:rsidP="00AC7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6985"/>
      <w:docPartObj>
        <w:docPartGallery w:val="Page Numbers (Top of Page)"/>
        <w:docPartUnique/>
      </w:docPartObj>
    </w:sdtPr>
    <w:sdtEndPr/>
    <w:sdtContent>
      <w:p w:rsidR="00AC7BD0" w:rsidRDefault="00656ED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3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7BD0" w:rsidRDefault="00AC7B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6BFB"/>
    <w:multiLevelType w:val="hybridMultilevel"/>
    <w:tmpl w:val="C4FA3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5ECD"/>
    <w:multiLevelType w:val="hybridMultilevel"/>
    <w:tmpl w:val="38C40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349B6"/>
    <w:multiLevelType w:val="hybridMultilevel"/>
    <w:tmpl w:val="3E1E5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80E38"/>
    <w:multiLevelType w:val="hybridMultilevel"/>
    <w:tmpl w:val="49FE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F76CF"/>
    <w:multiLevelType w:val="hybridMultilevel"/>
    <w:tmpl w:val="5B3EE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C31D0"/>
    <w:multiLevelType w:val="hybridMultilevel"/>
    <w:tmpl w:val="8366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B456C"/>
    <w:multiLevelType w:val="hybridMultilevel"/>
    <w:tmpl w:val="05249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80E6F"/>
    <w:multiLevelType w:val="hybridMultilevel"/>
    <w:tmpl w:val="5676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C5581"/>
    <w:multiLevelType w:val="hybridMultilevel"/>
    <w:tmpl w:val="06A665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09C40A8"/>
    <w:multiLevelType w:val="hybridMultilevel"/>
    <w:tmpl w:val="8366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81DEA"/>
    <w:multiLevelType w:val="hybridMultilevel"/>
    <w:tmpl w:val="83667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94230"/>
    <w:multiLevelType w:val="hybridMultilevel"/>
    <w:tmpl w:val="0144FB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DB1"/>
    <w:multiLevelType w:val="hybridMultilevel"/>
    <w:tmpl w:val="CB1E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5258E"/>
    <w:multiLevelType w:val="hybridMultilevel"/>
    <w:tmpl w:val="FF841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81E5C"/>
    <w:multiLevelType w:val="hybridMultilevel"/>
    <w:tmpl w:val="44DC3C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436A79"/>
    <w:multiLevelType w:val="hybridMultilevel"/>
    <w:tmpl w:val="A098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F101B"/>
    <w:multiLevelType w:val="hybridMultilevel"/>
    <w:tmpl w:val="B4A834E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353C8F40">
      <w:start w:val="1"/>
      <w:numFmt w:val="decimal"/>
      <w:lvlText w:val="%2."/>
      <w:lvlJc w:val="left"/>
      <w:pPr>
        <w:tabs>
          <w:tab w:val="num" w:pos="1845"/>
        </w:tabs>
        <w:ind w:left="184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75FC203B"/>
    <w:multiLevelType w:val="hybridMultilevel"/>
    <w:tmpl w:val="3B8A8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9507D"/>
    <w:multiLevelType w:val="hybridMultilevel"/>
    <w:tmpl w:val="3FC83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12"/>
  </w:num>
  <w:num w:numId="6">
    <w:abstractNumId w:val="6"/>
  </w:num>
  <w:num w:numId="7">
    <w:abstractNumId w:val="4"/>
  </w:num>
  <w:num w:numId="8">
    <w:abstractNumId w:val="18"/>
  </w:num>
  <w:num w:numId="9">
    <w:abstractNumId w:val="11"/>
  </w:num>
  <w:num w:numId="10">
    <w:abstractNumId w:val="13"/>
  </w:num>
  <w:num w:numId="11">
    <w:abstractNumId w:val="8"/>
  </w:num>
  <w:num w:numId="12">
    <w:abstractNumId w:val="5"/>
  </w:num>
  <w:num w:numId="13">
    <w:abstractNumId w:val="10"/>
  </w:num>
  <w:num w:numId="14">
    <w:abstractNumId w:val="9"/>
  </w:num>
  <w:num w:numId="15">
    <w:abstractNumId w:val="16"/>
  </w:num>
  <w:num w:numId="16">
    <w:abstractNumId w:val="7"/>
  </w:num>
  <w:num w:numId="17">
    <w:abstractNumId w:val="17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2CE2"/>
    <w:rsid w:val="00024A9E"/>
    <w:rsid w:val="00032846"/>
    <w:rsid w:val="00052582"/>
    <w:rsid w:val="00054215"/>
    <w:rsid w:val="000A4DAB"/>
    <w:rsid w:val="000C1837"/>
    <w:rsid w:val="000C2923"/>
    <w:rsid w:val="000C759D"/>
    <w:rsid w:val="000D73CC"/>
    <w:rsid w:val="0010232A"/>
    <w:rsid w:val="00106AEC"/>
    <w:rsid w:val="001334CC"/>
    <w:rsid w:val="00145A7F"/>
    <w:rsid w:val="0016297C"/>
    <w:rsid w:val="00167750"/>
    <w:rsid w:val="001705E7"/>
    <w:rsid w:val="00185367"/>
    <w:rsid w:val="0020782A"/>
    <w:rsid w:val="00227B4E"/>
    <w:rsid w:val="002472B6"/>
    <w:rsid w:val="00254134"/>
    <w:rsid w:val="00261ED3"/>
    <w:rsid w:val="0026693D"/>
    <w:rsid w:val="00272329"/>
    <w:rsid w:val="00275546"/>
    <w:rsid w:val="00275BCB"/>
    <w:rsid w:val="00284876"/>
    <w:rsid w:val="00287378"/>
    <w:rsid w:val="0029088C"/>
    <w:rsid w:val="002A7FF8"/>
    <w:rsid w:val="002B13C7"/>
    <w:rsid w:val="002C51FB"/>
    <w:rsid w:val="002D49EB"/>
    <w:rsid w:val="002E4100"/>
    <w:rsid w:val="002E50F1"/>
    <w:rsid w:val="002E6AE8"/>
    <w:rsid w:val="002F2E65"/>
    <w:rsid w:val="003113EF"/>
    <w:rsid w:val="00314FEB"/>
    <w:rsid w:val="003161F2"/>
    <w:rsid w:val="00336BD3"/>
    <w:rsid w:val="00340C07"/>
    <w:rsid w:val="00343848"/>
    <w:rsid w:val="00345938"/>
    <w:rsid w:val="00352945"/>
    <w:rsid w:val="00357E77"/>
    <w:rsid w:val="00363B22"/>
    <w:rsid w:val="00366356"/>
    <w:rsid w:val="00374D97"/>
    <w:rsid w:val="0038223F"/>
    <w:rsid w:val="003B3807"/>
    <w:rsid w:val="003C171F"/>
    <w:rsid w:val="003C3E8C"/>
    <w:rsid w:val="003E2CE2"/>
    <w:rsid w:val="003E46B5"/>
    <w:rsid w:val="003E5E3D"/>
    <w:rsid w:val="003F081E"/>
    <w:rsid w:val="003F151F"/>
    <w:rsid w:val="00423258"/>
    <w:rsid w:val="0042436E"/>
    <w:rsid w:val="0042769B"/>
    <w:rsid w:val="004308E3"/>
    <w:rsid w:val="0044331C"/>
    <w:rsid w:val="0044527C"/>
    <w:rsid w:val="0046206A"/>
    <w:rsid w:val="004715DC"/>
    <w:rsid w:val="00471FE6"/>
    <w:rsid w:val="004726B9"/>
    <w:rsid w:val="00484B7C"/>
    <w:rsid w:val="004860EB"/>
    <w:rsid w:val="00486550"/>
    <w:rsid w:val="004967B9"/>
    <w:rsid w:val="00496F64"/>
    <w:rsid w:val="004A33AD"/>
    <w:rsid w:val="004A62A4"/>
    <w:rsid w:val="004B00DF"/>
    <w:rsid w:val="004B20A3"/>
    <w:rsid w:val="004F30AE"/>
    <w:rsid w:val="00502E74"/>
    <w:rsid w:val="0050729F"/>
    <w:rsid w:val="00512F69"/>
    <w:rsid w:val="005144B7"/>
    <w:rsid w:val="0051467C"/>
    <w:rsid w:val="005155A5"/>
    <w:rsid w:val="00517684"/>
    <w:rsid w:val="00535969"/>
    <w:rsid w:val="00542A66"/>
    <w:rsid w:val="00544A05"/>
    <w:rsid w:val="005576A8"/>
    <w:rsid w:val="00565B4F"/>
    <w:rsid w:val="00575511"/>
    <w:rsid w:val="005821BF"/>
    <w:rsid w:val="00582C2B"/>
    <w:rsid w:val="005962EB"/>
    <w:rsid w:val="005A5205"/>
    <w:rsid w:val="005C6317"/>
    <w:rsid w:val="006219F1"/>
    <w:rsid w:val="006338B6"/>
    <w:rsid w:val="00652F27"/>
    <w:rsid w:val="00656EDF"/>
    <w:rsid w:val="00672D45"/>
    <w:rsid w:val="00686DBC"/>
    <w:rsid w:val="0069553A"/>
    <w:rsid w:val="006A0B55"/>
    <w:rsid w:val="006A3513"/>
    <w:rsid w:val="006D3CA2"/>
    <w:rsid w:val="006D4172"/>
    <w:rsid w:val="006D5426"/>
    <w:rsid w:val="006D5B60"/>
    <w:rsid w:val="0070550D"/>
    <w:rsid w:val="0073133A"/>
    <w:rsid w:val="007344B6"/>
    <w:rsid w:val="00747571"/>
    <w:rsid w:val="00774E47"/>
    <w:rsid w:val="007776F8"/>
    <w:rsid w:val="0079045A"/>
    <w:rsid w:val="0079174A"/>
    <w:rsid w:val="007962C9"/>
    <w:rsid w:val="00797B9F"/>
    <w:rsid w:val="007B2CA1"/>
    <w:rsid w:val="007B7B20"/>
    <w:rsid w:val="007D67B7"/>
    <w:rsid w:val="007F44A1"/>
    <w:rsid w:val="00801C25"/>
    <w:rsid w:val="00806441"/>
    <w:rsid w:val="00817EA5"/>
    <w:rsid w:val="00826C57"/>
    <w:rsid w:val="00831B79"/>
    <w:rsid w:val="0083441A"/>
    <w:rsid w:val="00845B62"/>
    <w:rsid w:val="00861635"/>
    <w:rsid w:val="00862982"/>
    <w:rsid w:val="00881B71"/>
    <w:rsid w:val="00891BB4"/>
    <w:rsid w:val="008B4FCC"/>
    <w:rsid w:val="008C0B00"/>
    <w:rsid w:val="008F1FDE"/>
    <w:rsid w:val="008F2EA5"/>
    <w:rsid w:val="00904BFE"/>
    <w:rsid w:val="00927BE9"/>
    <w:rsid w:val="00934D0D"/>
    <w:rsid w:val="00944A9F"/>
    <w:rsid w:val="009774A1"/>
    <w:rsid w:val="00987E70"/>
    <w:rsid w:val="00991532"/>
    <w:rsid w:val="0099177C"/>
    <w:rsid w:val="0099298D"/>
    <w:rsid w:val="009A6314"/>
    <w:rsid w:val="009B483B"/>
    <w:rsid w:val="009D303A"/>
    <w:rsid w:val="009D6E55"/>
    <w:rsid w:val="009E5D7B"/>
    <w:rsid w:val="009E727E"/>
    <w:rsid w:val="009F172A"/>
    <w:rsid w:val="00A135CD"/>
    <w:rsid w:val="00A260ED"/>
    <w:rsid w:val="00A36A13"/>
    <w:rsid w:val="00A375E8"/>
    <w:rsid w:val="00A46047"/>
    <w:rsid w:val="00A50761"/>
    <w:rsid w:val="00A51A47"/>
    <w:rsid w:val="00A5289B"/>
    <w:rsid w:val="00A53362"/>
    <w:rsid w:val="00A5563E"/>
    <w:rsid w:val="00A568C4"/>
    <w:rsid w:val="00A66B5A"/>
    <w:rsid w:val="00A70DD7"/>
    <w:rsid w:val="00A7239F"/>
    <w:rsid w:val="00A77480"/>
    <w:rsid w:val="00A84204"/>
    <w:rsid w:val="00A86245"/>
    <w:rsid w:val="00A94907"/>
    <w:rsid w:val="00AA26AC"/>
    <w:rsid w:val="00AB2F91"/>
    <w:rsid w:val="00AC4901"/>
    <w:rsid w:val="00AC7BD0"/>
    <w:rsid w:val="00AD1D76"/>
    <w:rsid w:val="00AE3372"/>
    <w:rsid w:val="00AF267C"/>
    <w:rsid w:val="00B05D86"/>
    <w:rsid w:val="00B130EB"/>
    <w:rsid w:val="00B2033C"/>
    <w:rsid w:val="00B22DD9"/>
    <w:rsid w:val="00B376C0"/>
    <w:rsid w:val="00B4353E"/>
    <w:rsid w:val="00B4709D"/>
    <w:rsid w:val="00B54761"/>
    <w:rsid w:val="00B55621"/>
    <w:rsid w:val="00B60112"/>
    <w:rsid w:val="00B70C8E"/>
    <w:rsid w:val="00B93E97"/>
    <w:rsid w:val="00BD1533"/>
    <w:rsid w:val="00BF7FB8"/>
    <w:rsid w:val="00C028A7"/>
    <w:rsid w:val="00C0788C"/>
    <w:rsid w:val="00C211AF"/>
    <w:rsid w:val="00C226F3"/>
    <w:rsid w:val="00C22886"/>
    <w:rsid w:val="00C3158B"/>
    <w:rsid w:val="00C449CB"/>
    <w:rsid w:val="00C64501"/>
    <w:rsid w:val="00C66F82"/>
    <w:rsid w:val="00C75C45"/>
    <w:rsid w:val="00C96886"/>
    <w:rsid w:val="00CA2582"/>
    <w:rsid w:val="00CC47E6"/>
    <w:rsid w:val="00CE420F"/>
    <w:rsid w:val="00D05C68"/>
    <w:rsid w:val="00D43D44"/>
    <w:rsid w:val="00D56C27"/>
    <w:rsid w:val="00D761CE"/>
    <w:rsid w:val="00D7731A"/>
    <w:rsid w:val="00D93FBF"/>
    <w:rsid w:val="00DA0F1D"/>
    <w:rsid w:val="00DA423E"/>
    <w:rsid w:val="00DB736F"/>
    <w:rsid w:val="00DB7768"/>
    <w:rsid w:val="00DC7AD8"/>
    <w:rsid w:val="00DD51B3"/>
    <w:rsid w:val="00DE48FD"/>
    <w:rsid w:val="00DF1AB5"/>
    <w:rsid w:val="00DF6549"/>
    <w:rsid w:val="00E01CFC"/>
    <w:rsid w:val="00E02E7B"/>
    <w:rsid w:val="00E06882"/>
    <w:rsid w:val="00E1447C"/>
    <w:rsid w:val="00E15D19"/>
    <w:rsid w:val="00E165DF"/>
    <w:rsid w:val="00E16C22"/>
    <w:rsid w:val="00E22695"/>
    <w:rsid w:val="00E236D0"/>
    <w:rsid w:val="00E275D8"/>
    <w:rsid w:val="00E30372"/>
    <w:rsid w:val="00E34DC9"/>
    <w:rsid w:val="00E546FC"/>
    <w:rsid w:val="00E57914"/>
    <w:rsid w:val="00E71014"/>
    <w:rsid w:val="00E82935"/>
    <w:rsid w:val="00E915D3"/>
    <w:rsid w:val="00E92554"/>
    <w:rsid w:val="00E9397E"/>
    <w:rsid w:val="00EB4F4F"/>
    <w:rsid w:val="00EC4C03"/>
    <w:rsid w:val="00EC7003"/>
    <w:rsid w:val="00EE2027"/>
    <w:rsid w:val="00EE6C65"/>
    <w:rsid w:val="00F07A6F"/>
    <w:rsid w:val="00F3252D"/>
    <w:rsid w:val="00F35C84"/>
    <w:rsid w:val="00F425C6"/>
    <w:rsid w:val="00F447DB"/>
    <w:rsid w:val="00F55975"/>
    <w:rsid w:val="00F56C43"/>
    <w:rsid w:val="00F65093"/>
    <w:rsid w:val="00F673DA"/>
    <w:rsid w:val="00F87C51"/>
    <w:rsid w:val="00F969EA"/>
    <w:rsid w:val="00FA7464"/>
    <w:rsid w:val="00FA79CA"/>
    <w:rsid w:val="00FB18CE"/>
    <w:rsid w:val="00FD11B5"/>
    <w:rsid w:val="00FD625D"/>
    <w:rsid w:val="00FD792C"/>
    <w:rsid w:val="00FF2B9C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C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BD0"/>
  </w:style>
  <w:style w:type="paragraph" w:styleId="a6">
    <w:name w:val="footer"/>
    <w:basedOn w:val="a"/>
    <w:link w:val="a7"/>
    <w:uiPriority w:val="99"/>
    <w:semiHidden/>
    <w:unhideWhenUsed/>
    <w:rsid w:val="00AC7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7BD0"/>
  </w:style>
  <w:style w:type="paragraph" w:styleId="3">
    <w:name w:val="Body Text 3"/>
    <w:basedOn w:val="a"/>
    <w:link w:val="30"/>
    <w:semiHidden/>
    <w:rsid w:val="0034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semiHidden/>
    <w:rsid w:val="00340C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13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24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0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73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29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5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95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42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56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69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5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29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8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3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62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0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6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12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7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3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062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80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79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64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2123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1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1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5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6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3518</Words>
  <Characters>20057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QWERTY</cp:lastModifiedBy>
  <cp:revision>300</cp:revision>
  <cp:lastPrinted>2013-08-29T04:43:00Z</cp:lastPrinted>
  <dcterms:created xsi:type="dcterms:W3CDTF">2012-09-06T16:02:00Z</dcterms:created>
  <dcterms:modified xsi:type="dcterms:W3CDTF">2013-08-29T04:43:00Z</dcterms:modified>
</cp:coreProperties>
</file>