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C3" w:rsidRDefault="009221C3" w:rsidP="00922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9221C3" w:rsidRDefault="009221C3" w:rsidP="00922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9221C3" w:rsidRDefault="009221C3" w:rsidP="009221C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1C3" w:rsidRDefault="009221C3" w:rsidP="009221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:rsidR="009221C3" w:rsidRDefault="009221C3" w:rsidP="009221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СЕМИНАРСКИМ ЗАНЯТИЯМ ДЛЯ ОРДИНАТОРОВ</w:t>
      </w:r>
    </w:p>
    <w:p w:rsidR="009221C3" w:rsidRDefault="009221C3" w:rsidP="009221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Семестр: 1,2,3,4</w:t>
      </w: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</w:t>
      </w:r>
    </w:p>
    <w:p w:rsidR="009221C3" w:rsidRDefault="009221C3" w:rsidP="009221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семинарских занятий для ординаторов,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 w:cs="Times New Roman"/>
            <w:sz w:val="24"/>
            <w:szCs w:val="24"/>
          </w:rPr>
          <w:t>2012 г</w:t>
        </w:r>
      </w:smartTag>
      <w:r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9221C3" w:rsidRDefault="009221C3" w:rsidP="009221C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21C3" w:rsidRDefault="009221C3" w:rsidP="009221C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221C3" w:rsidRDefault="009221C3" w:rsidP="009221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9221C3" w:rsidRDefault="009221C3" w:rsidP="009221C3">
      <w:pPr>
        <w:pStyle w:val="ListParagraph"/>
        <w:numPr>
          <w:ilvl w:val="0"/>
          <w:numId w:val="8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9221C3" w:rsidRDefault="009221C3" w:rsidP="009221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21C3" w:rsidRDefault="009221C3" w:rsidP="009221C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Style w:val="BodyTextChar"/>
        </w:rPr>
      </w:pPr>
      <w:r>
        <w:rPr>
          <w:rStyle w:val="BodyTextChar"/>
        </w:rPr>
        <w:t xml:space="preserve">Р.Я.Нагаев, главный врач ГБУЗ  РКБ им. Г.Г.Куватова </w:t>
      </w:r>
    </w:p>
    <w:p w:rsidR="009221C3" w:rsidRDefault="009221C3" w:rsidP="009221C3">
      <w:pPr>
        <w:spacing w:before="100" w:beforeAutospacing="1" w:after="100" w:afterAutospacing="1" w:line="240" w:lineRule="auto"/>
        <w:contextualSpacing/>
        <w:jc w:val="both"/>
        <w:rPr>
          <w:rStyle w:val="BodyTextChar"/>
        </w:rPr>
      </w:pPr>
    </w:p>
    <w:p w:rsidR="009221C3" w:rsidRDefault="009221C3" w:rsidP="009221C3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9221C3" w:rsidRDefault="009221C3" w:rsidP="009221C3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9221C3" w:rsidRDefault="009221C3" w:rsidP="009221C3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9221C3" w:rsidRDefault="009221C3" w:rsidP="009221C3">
      <w:pPr>
        <w:tabs>
          <w:tab w:val="left" w:pos="5812"/>
          <w:tab w:val="left" w:pos="6804"/>
          <w:tab w:val="left" w:pos="8080"/>
          <w:tab w:val="left" w:pos="13892"/>
        </w:tabs>
        <w:rPr>
          <w:rFonts w:eastAsia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3D4074" w:rsidRPr="0013571D" w:rsidRDefault="003D4074" w:rsidP="004E54B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D4074" w:rsidRPr="0013571D" w:rsidRDefault="003D4074" w:rsidP="004E54B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семинара</w:t>
      </w:r>
    </w:p>
    <w:p w:rsidR="003D4074" w:rsidRPr="0013571D" w:rsidRDefault="003D4074" w:rsidP="00D06B50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rPr>
          <w:sz w:val="24"/>
          <w:szCs w:val="24"/>
        </w:rPr>
      </w:pPr>
      <w:r w:rsidRPr="0013571D">
        <w:rPr>
          <w:sz w:val="24"/>
          <w:szCs w:val="24"/>
        </w:rPr>
        <w:t xml:space="preserve">Название: </w:t>
      </w:r>
      <w:r w:rsidRPr="0013571D">
        <w:rPr>
          <w:rStyle w:val="a9"/>
          <w:b w:val="0"/>
          <w:bCs w:val="0"/>
          <w:sz w:val="24"/>
          <w:szCs w:val="24"/>
        </w:rPr>
        <w:t>Кли</w:t>
      </w:r>
      <w:r w:rsidRPr="0013571D">
        <w:rPr>
          <w:rStyle w:val="a9"/>
          <w:b w:val="0"/>
          <w:bCs w:val="0"/>
          <w:sz w:val="24"/>
          <w:szCs w:val="24"/>
        </w:rPr>
        <w:softHyphen/>
        <w:t>ни</w:t>
      </w:r>
      <w:r w:rsidRPr="0013571D">
        <w:rPr>
          <w:rStyle w:val="a9"/>
          <w:b w:val="0"/>
          <w:bCs w:val="0"/>
          <w:sz w:val="24"/>
          <w:szCs w:val="24"/>
        </w:rPr>
        <w:softHyphen/>
        <w:t>че</w:t>
      </w:r>
      <w:r w:rsidRPr="0013571D">
        <w:rPr>
          <w:rStyle w:val="a9"/>
          <w:b w:val="0"/>
          <w:bCs w:val="0"/>
          <w:sz w:val="24"/>
          <w:szCs w:val="24"/>
        </w:rPr>
        <w:softHyphen/>
        <w:t xml:space="preserve">ская </w:t>
      </w:r>
      <w:proofErr w:type="spellStart"/>
      <w:r w:rsidRPr="0013571D">
        <w:rPr>
          <w:rStyle w:val="a9"/>
          <w:b w:val="0"/>
          <w:bCs w:val="0"/>
          <w:sz w:val="24"/>
          <w:szCs w:val="24"/>
        </w:rPr>
        <w:t>фар</w:t>
      </w:r>
      <w:r w:rsidRPr="0013571D">
        <w:rPr>
          <w:rStyle w:val="a9"/>
          <w:b w:val="0"/>
          <w:bCs w:val="0"/>
          <w:sz w:val="24"/>
          <w:szCs w:val="24"/>
        </w:rPr>
        <w:softHyphen/>
        <w:t>ма</w:t>
      </w:r>
      <w:r w:rsidRPr="0013571D">
        <w:rPr>
          <w:rStyle w:val="a9"/>
          <w:b w:val="0"/>
          <w:bCs w:val="0"/>
          <w:sz w:val="24"/>
          <w:szCs w:val="24"/>
        </w:rPr>
        <w:softHyphen/>
        <w:t>ко</w:t>
      </w:r>
      <w:r w:rsidRPr="0013571D">
        <w:rPr>
          <w:rStyle w:val="a9"/>
          <w:b w:val="0"/>
          <w:bCs w:val="0"/>
          <w:sz w:val="24"/>
          <w:szCs w:val="24"/>
        </w:rPr>
        <w:softHyphen/>
        <w:t>ки</w:t>
      </w:r>
      <w:r w:rsidRPr="0013571D">
        <w:rPr>
          <w:rStyle w:val="a9"/>
          <w:b w:val="0"/>
          <w:bCs w:val="0"/>
          <w:sz w:val="24"/>
          <w:szCs w:val="24"/>
        </w:rPr>
        <w:softHyphen/>
        <w:t>не</w:t>
      </w:r>
      <w:r w:rsidRPr="0013571D">
        <w:rPr>
          <w:rStyle w:val="a9"/>
          <w:b w:val="0"/>
          <w:bCs w:val="0"/>
          <w:sz w:val="24"/>
          <w:szCs w:val="24"/>
        </w:rPr>
        <w:softHyphen/>
        <w:t>ти</w:t>
      </w:r>
      <w:r w:rsidRPr="0013571D">
        <w:rPr>
          <w:rStyle w:val="a9"/>
          <w:b w:val="0"/>
          <w:bCs w:val="0"/>
          <w:sz w:val="24"/>
          <w:szCs w:val="24"/>
        </w:rPr>
        <w:softHyphen/>
        <w:t>ка</w:t>
      </w:r>
      <w:proofErr w:type="spellEnd"/>
    </w:p>
    <w:p w:rsidR="003D4074" w:rsidRPr="0013571D" w:rsidRDefault="003D4074" w:rsidP="00D06B50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rPr>
          <w:rStyle w:val="a9"/>
          <w:b w:val="0"/>
          <w:bCs w:val="0"/>
          <w:sz w:val="24"/>
          <w:szCs w:val="24"/>
        </w:rPr>
      </w:pPr>
      <w:r>
        <w:rPr>
          <w:sz w:val="24"/>
          <w:szCs w:val="24"/>
        </w:rPr>
        <w:t>Индекс  темы семинара</w:t>
      </w:r>
      <w:r w:rsidRPr="0013571D">
        <w:rPr>
          <w:sz w:val="24"/>
          <w:szCs w:val="24"/>
        </w:rPr>
        <w:t xml:space="preserve">: </w:t>
      </w:r>
      <w:r>
        <w:rPr>
          <w:rStyle w:val="a9"/>
          <w:b w:val="0"/>
          <w:bCs w:val="0"/>
          <w:sz w:val="24"/>
          <w:szCs w:val="24"/>
        </w:rPr>
        <w:t>Б.1.Б.1.1</w:t>
      </w:r>
      <w:r w:rsidRPr="0013571D">
        <w:rPr>
          <w:rStyle w:val="a9"/>
          <w:b w:val="0"/>
          <w:bCs w:val="0"/>
          <w:sz w:val="24"/>
          <w:szCs w:val="24"/>
        </w:rPr>
        <w:t>.3.</w:t>
      </w:r>
    </w:p>
    <w:p w:rsidR="003D4074" w:rsidRPr="0013571D" w:rsidRDefault="003D4074" w:rsidP="00D06B50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Наименование цикла:</w:t>
      </w:r>
      <w:r w:rsidRPr="0013571D">
        <w:rPr>
          <w:sz w:val="24"/>
          <w:szCs w:val="24"/>
        </w:rPr>
        <w:t xml:space="preserve"> ординатура по специальности </w:t>
      </w:r>
      <w:r>
        <w:rPr>
          <w:sz w:val="24"/>
          <w:szCs w:val="24"/>
        </w:rPr>
        <w:t xml:space="preserve">31.08.37 </w:t>
      </w:r>
      <w:r w:rsidRPr="0013571D">
        <w:rPr>
          <w:sz w:val="24"/>
          <w:szCs w:val="24"/>
        </w:rPr>
        <w:t>«Клиническая фармакология»</w:t>
      </w:r>
    </w:p>
    <w:p w:rsidR="003D4074" w:rsidRPr="0013571D" w:rsidRDefault="003D4074" w:rsidP="00D06B50">
      <w:pPr>
        <w:pStyle w:val="a8"/>
        <w:numPr>
          <w:ilvl w:val="1"/>
          <w:numId w:val="1"/>
        </w:numPr>
        <w:tabs>
          <w:tab w:val="num" w:pos="0"/>
        </w:tabs>
        <w:spacing w:after="0"/>
        <w:ind w:left="0" w:firstLine="720"/>
        <w:rPr>
          <w:rFonts w:ascii="Times New Roman" w:hAnsi="Times New Roman" w:cs="Times New Roman"/>
        </w:rPr>
      </w:pPr>
      <w:r w:rsidRPr="0013571D">
        <w:rPr>
          <w:rFonts w:ascii="Times New Roman" w:hAnsi="Times New Roman" w:cs="Times New Roman"/>
          <w:sz w:val="24"/>
          <w:szCs w:val="24"/>
        </w:rPr>
        <w:t>Кон</w:t>
      </w:r>
      <w:r>
        <w:rPr>
          <w:rFonts w:ascii="Times New Roman" w:hAnsi="Times New Roman" w:cs="Times New Roman"/>
          <w:sz w:val="24"/>
          <w:szCs w:val="24"/>
        </w:rPr>
        <w:t xml:space="preserve">тингент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13571D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</w:t>
      </w:r>
      <w:r>
        <w:rPr>
          <w:rFonts w:ascii="Times New Roman" w:hAnsi="Times New Roman" w:cs="Times New Roman"/>
          <w:sz w:val="24"/>
          <w:szCs w:val="24"/>
        </w:rPr>
        <w:t xml:space="preserve">31.08.37 </w:t>
      </w:r>
      <w:r w:rsidRPr="0013571D">
        <w:rPr>
          <w:rFonts w:ascii="Times New Roman" w:hAnsi="Times New Roman" w:cs="Times New Roman"/>
          <w:sz w:val="24"/>
          <w:szCs w:val="24"/>
        </w:rPr>
        <w:t>«Клиническая фармакология»</w:t>
      </w:r>
    </w:p>
    <w:p w:rsidR="003D4074" w:rsidRPr="0013571D" w:rsidRDefault="003D4074" w:rsidP="00D06B50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t>Продолжительность занятия: 2 часа.</w:t>
      </w:r>
    </w:p>
    <w:p w:rsidR="003D4074" w:rsidRPr="0013571D" w:rsidRDefault="003D4074" w:rsidP="00D06B50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t xml:space="preserve">Цель: рассмотреть и обсудить современные данные 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t xml:space="preserve">о </w:t>
      </w:r>
      <w:proofErr w:type="gramStart"/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t>кли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ни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че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ской</w:t>
      </w:r>
      <w:proofErr w:type="gramEnd"/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t xml:space="preserve"> </w:t>
      </w:r>
      <w:proofErr w:type="spellStart"/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t>фар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ма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ко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ки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не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ти</w:t>
      </w:r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softHyphen/>
        <w:t>ке</w:t>
      </w:r>
      <w:proofErr w:type="spellEnd"/>
      <w:r w:rsidRPr="0013571D">
        <w:rPr>
          <w:rStyle w:val="a9"/>
          <w:rFonts w:ascii="Times New Roman" w:hAnsi="Times New Roman"/>
          <w:b w:val="0"/>
          <w:bCs w:val="0"/>
          <w:sz w:val="24"/>
          <w:szCs w:val="24"/>
        </w:rPr>
        <w:t xml:space="preserve">.  </w:t>
      </w:r>
    </w:p>
    <w:p w:rsidR="003D4074" w:rsidRPr="0013571D" w:rsidRDefault="003D4074" w:rsidP="00D06B50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семинаре обсуждаются следующие вопросы:</w:t>
      </w:r>
      <w:r w:rsidRPr="0013571D">
        <w:rPr>
          <w:rFonts w:ascii="Times New Roman" w:hAnsi="Times New Roman" w:cs="Times New Roman"/>
          <w:sz w:val="24"/>
          <w:szCs w:val="24"/>
        </w:rPr>
        <w:t xml:space="preserve"> Со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вре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ные ме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ды фар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кине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че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ских ис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до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ва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ний, ди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ка фар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че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ских па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ра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мет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ров, ос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ные фар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че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ские па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ра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мет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ры.</w:t>
      </w:r>
    </w:p>
    <w:p w:rsidR="003D4074" w:rsidRPr="0013571D" w:rsidRDefault="003D4074" w:rsidP="004E54B7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План семинара:   1.</w:t>
      </w:r>
      <w:r w:rsidRPr="0013571D">
        <w:rPr>
          <w:rFonts w:ascii="Times New Roman" w:hAnsi="Times New Roman" w:cs="Times New Roman"/>
          <w:sz w:val="24"/>
          <w:szCs w:val="24"/>
        </w:rPr>
        <w:t xml:space="preserve"> Со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вре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ные ме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ды фар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кине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че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ских ис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до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ва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3D4074" w:rsidRPr="0013571D" w:rsidRDefault="003D4074" w:rsidP="004E54B7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</w:t>
      </w:r>
      <w:r w:rsidRPr="0013571D">
        <w:rPr>
          <w:rFonts w:ascii="Times New Roman" w:hAnsi="Times New Roman" w:cs="Times New Roman"/>
          <w:color w:val="000000"/>
          <w:spacing w:val="-6"/>
          <w:sz w:val="24"/>
          <w:szCs w:val="24"/>
        </w:rPr>
        <w:t>2.</w:t>
      </w:r>
      <w:r w:rsidRPr="0013571D">
        <w:rPr>
          <w:rFonts w:ascii="Times New Roman" w:hAnsi="Times New Roman" w:cs="Times New Roman"/>
          <w:sz w:val="24"/>
          <w:szCs w:val="24"/>
        </w:rPr>
        <w:t xml:space="preserve"> Ди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ка фар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ко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ки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не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ти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че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ских па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ра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мет</w:t>
      </w:r>
      <w:r w:rsidRPr="0013571D">
        <w:rPr>
          <w:rFonts w:ascii="Times New Roman" w:hAnsi="Times New Roman" w:cs="Times New Roman"/>
          <w:sz w:val="24"/>
          <w:szCs w:val="24"/>
        </w:rPr>
        <w:softHyphen/>
        <w:t>ров.</w:t>
      </w:r>
    </w:p>
    <w:p w:rsidR="003D4074" w:rsidRPr="0013571D" w:rsidRDefault="003D4074" w:rsidP="0013571D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t xml:space="preserve">                                          3. Основные фармакокинетические параметры.</w:t>
      </w:r>
    </w:p>
    <w:p w:rsidR="003D4074" w:rsidRPr="0013571D" w:rsidRDefault="003D4074" w:rsidP="004E54B7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t xml:space="preserve">Иллюстративный материал: и оснащение: таблицы, плакаты, слайды для аппарата </w:t>
      </w:r>
      <w:proofErr w:type="spellStart"/>
      <w:r w:rsidRPr="0013571D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1357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571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13571D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13571D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13571D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3D4074" w:rsidRPr="0013571D" w:rsidRDefault="003D4074" w:rsidP="004E54B7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t>Литература по теме семинара:</w:t>
      </w:r>
    </w:p>
    <w:p w:rsidR="003D4074" w:rsidRPr="0013571D" w:rsidRDefault="003D4074" w:rsidP="004E54B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571D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4077FD" w:rsidRDefault="004077FD" w:rsidP="004077F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4077FD" w:rsidRDefault="004077FD" w:rsidP="004077F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077FD" w:rsidRDefault="00F14066" w:rsidP="004077F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="004077FD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="004077FD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4077FD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="004077FD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="004077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077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77F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077FD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077FD" w:rsidRDefault="004077FD" w:rsidP="004077F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077FD" w:rsidRDefault="004077FD" w:rsidP="004077F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077FD" w:rsidRDefault="004077FD" w:rsidP="004077FD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077FD" w:rsidRDefault="004077FD" w:rsidP="004077FD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077FD" w:rsidRDefault="004077FD" w:rsidP="004077FD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077FD" w:rsidRDefault="004077FD" w:rsidP="004077FD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077FD" w:rsidRDefault="004077FD" w:rsidP="004077F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077FD" w:rsidRDefault="004077FD" w:rsidP="004077F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077FD" w:rsidRDefault="004077FD" w:rsidP="004077F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4077FD" w:rsidRDefault="004077FD" w:rsidP="004077F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077FD" w:rsidRDefault="00F14066" w:rsidP="004077F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4077FD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4077FD"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 w:rsidR="004077FD">
          <w:rPr>
            <w:rStyle w:val="aa"/>
            <w:rFonts w:ascii="Times New Roman" w:hAnsi="Times New Roman"/>
            <w:sz w:val="24"/>
            <w:szCs w:val="24"/>
          </w:rPr>
          <w:t>.</w:t>
        </w:r>
        <w:r w:rsidR="004077FD"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 w:rsidR="004077FD">
          <w:rPr>
            <w:rStyle w:val="aa"/>
            <w:rFonts w:ascii="Times New Roman" w:hAnsi="Times New Roman"/>
            <w:sz w:val="24"/>
            <w:szCs w:val="24"/>
          </w:rPr>
          <w:t>.</w:t>
        </w:r>
        <w:r w:rsidR="004077FD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4077FD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="004077F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4077FD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4077FD"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 w:rsidR="004077FD">
          <w:rPr>
            <w:rStyle w:val="aa"/>
            <w:rFonts w:ascii="Times New Roman" w:hAnsi="Times New Roman"/>
            <w:sz w:val="24"/>
            <w:szCs w:val="24"/>
          </w:rPr>
          <w:t>-</w:t>
        </w:r>
        <w:r w:rsidR="004077FD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4077FD">
          <w:rPr>
            <w:rStyle w:val="aa"/>
            <w:rFonts w:ascii="Times New Roman" w:hAnsi="Times New Roman"/>
            <w:sz w:val="24"/>
            <w:szCs w:val="24"/>
          </w:rPr>
          <w:t>.</w:t>
        </w:r>
        <w:r w:rsidR="004077FD"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 w:rsidR="004077FD"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4077FD" w:rsidRDefault="004077FD" w:rsidP="004077F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4077FD" w:rsidRDefault="004077FD" w:rsidP="004077F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a"/>
            <w:rFonts w:ascii="Times New Roman" w:hAnsi="Times New Roman"/>
            <w:sz w:val="24"/>
            <w:szCs w:val="24"/>
          </w:rPr>
          <w:t>?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077FD" w:rsidTr="004077FD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077FD" w:rsidRDefault="0040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077FD" w:rsidRDefault="004077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077FD" w:rsidRDefault="0040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3D4074" w:rsidRPr="0013571D" w:rsidRDefault="003D4074" w:rsidP="004077F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</w:rPr>
      </w:pPr>
    </w:p>
    <w:sectPr w:rsidR="003D4074" w:rsidRPr="0013571D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7866D3"/>
    <w:multiLevelType w:val="hybridMultilevel"/>
    <w:tmpl w:val="C322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E4283D"/>
    <w:multiLevelType w:val="hybridMultilevel"/>
    <w:tmpl w:val="389A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B35173"/>
    <w:multiLevelType w:val="hybridMultilevel"/>
    <w:tmpl w:val="6E9A676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7A92C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4B7"/>
    <w:rsid w:val="00087EC1"/>
    <w:rsid w:val="0013571D"/>
    <w:rsid w:val="002234FE"/>
    <w:rsid w:val="00250C85"/>
    <w:rsid w:val="003950C4"/>
    <w:rsid w:val="003D4074"/>
    <w:rsid w:val="004077FD"/>
    <w:rsid w:val="004E54B7"/>
    <w:rsid w:val="004E76FC"/>
    <w:rsid w:val="00562FCC"/>
    <w:rsid w:val="00592952"/>
    <w:rsid w:val="00614F4D"/>
    <w:rsid w:val="00637807"/>
    <w:rsid w:val="00653834"/>
    <w:rsid w:val="00787F16"/>
    <w:rsid w:val="0079676F"/>
    <w:rsid w:val="007C35EE"/>
    <w:rsid w:val="00904A2E"/>
    <w:rsid w:val="009221C3"/>
    <w:rsid w:val="009D5E48"/>
    <w:rsid w:val="00A34430"/>
    <w:rsid w:val="00A44EA2"/>
    <w:rsid w:val="00B43BD2"/>
    <w:rsid w:val="00C83894"/>
    <w:rsid w:val="00D06B50"/>
    <w:rsid w:val="00D74897"/>
    <w:rsid w:val="00E31151"/>
    <w:rsid w:val="00EB2259"/>
    <w:rsid w:val="00F14066"/>
    <w:rsid w:val="00FB0E12"/>
    <w:rsid w:val="00FE0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B7"/>
    <w:pPr>
      <w:spacing w:after="200" w:line="276" w:lineRule="auto"/>
    </w:pPr>
    <w:rPr>
      <w:rFonts w:eastAsia="Times New Roman" w:cs="Calibri"/>
    </w:rPr>
  </w:style>
  <w:style w:type="paragraph" w:styleId="4">
    <w:name w:val="heading 4"/>
    <w:basedOn w:val="a"/>
    <w:next w:val="a"/>
    <w:link w:val="40"/>
    <w:uiPriority w:val="99"/>
    <w:qFormat/>
    <w:rsid w:val="004E54B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E54B7"/>
    <w:rPr>
      <w:rFonts w:ascii="Calibri" w:hAnsi="Calibri" w:cs="Calibri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4E54B7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E54B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4E54B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E54B7"/>
    <w:rPr>
      <w:rFonts w:ascii="Calibri" w:hAnsi="Calibri" w:cs="Calibri"/>
      <w:lang w:eastAsia="ru-RU"/>
    </w:rPr>
  </w:style>
  <w:style w:type="paragraph" w:styleId="a5">
    <w:name w:val="Title"/>
    <w:basedOn w:val="a"/>
    <w:link w:val="a6"/>
    <w:uiPriority w:val="99"/>
    <w:qFormat/>
    <w:rsid w:val="004E54B7"/>
    <w:pPr>
      <w:spacing w:after="0" w:line="36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4E54B7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4E54B7"/>
    <w:rPr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4E54B7"/>
    <w:pPr>
      <w:ind w:left="720"/>
    </w:pPr>
  </w:style>
  <w:style w:type="character" w:customStyle="1" w:styleId="apple-style-span">
    <w:name w:val="apple-style-span"/>
    <w:basedOn w:val="a0"/>
    <w:uiPriority w:val="99"/>
    <w:rsid w:val="004E54B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E54B7"/>
    <w:rPr>
      <w:rFonts w:cs="Times New Roman"/>
    </w:rPr>
  </w:style>
  <w:style w:type="character" w:customStyle="1" w:styleId="a9">
    <w:name w:val="Текст выделеный"/>
    <w:basedOn w:val="a0"/>
    <w:uiPriority w:val="99"/>
    <w:rsid w:val="004E76FC"/>
    <w:rPr>
      <w:rFonts w:cs="Times New Roman"/>
      <w:b/>
      <w:bCs/>
    </w:rPr>
  </w:style>
  <w:style w:type="paragraph" w:customStyle="1" w:styleId="ConsPlusTitle">
    <w:name w:val="ConsPlusTitle"/>
    <w:uiPriority w:val="99"/>
    <w:rsid w:val="004E76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rsid w:val="00D06B50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9221C3"/>
    <w:pPr>
      <w:ind w:left="720"/>
    </w:pPr>
    <w:rPr>
      <w:rFonts w:eastAsia="Calibri"/>
    </w:rPr>
  </w:style>
  <w:style w:type="character" w:customStyle="1" w:styleId="BodyTextChar">
    <w:name w:val="Body Text Char"/>
    <w:locked/>
    <w:rsid w:val="009221C3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584</Words>
  <Characters>4869</Characters>
  <Application>Microsoft Office Word</Application>
  <DocSecurity>0</DocSecurity>
  <Lines>40</Lines>
  <Paragraphs>10</Paragraphs>
  <ScaleCrop>false</ScaleCrop>
  <Company>Microsoft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ИЛЬНАЗ</cp:lastModifiedBy>
  <cp:revision>9</cp:revision>
  <dcterms:created xsi:type="dcterms:W3CDTF">2012-07-12T06:29:00Z</dcterms:created>
  <dcterms:modified xsi:type="dcterms:W3CDTF">2016-01-21T04:34:00Z</dcterms:modified>
</cp:coreProperties>
</file>